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5C8" w:rsidRDefault="000C0CEB">
      <w:pPr>
        <w:spacing w:line="360" w:lineRule="auto"/>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附件</w:t>
      </w:r>
    </w:p>
    <w:tbl>
      <w:tblPr>
        <w:tblW w:w="14061" w:type="dxa"/>
        <w:tblInd w:w="113" w:type="dxa"/>
        <w:tblLayout w:type="fixed"/>
        <w:tblLook w:val="04A0"/>
      </w:tblPr>
      <w:tblGrid>
        <w:gridCol w:w="1043"/>
        <w:gridCol w:w="1079"/>
        <w:gridCol w:w="1873"/>
        <w:gridCol w:w="2203"/>
        <w:gridCol w:w="3308"/>
        <w:gridCol w:w="837"/>
        <w:gridCol w:w="709"/>
        <w:gridCol w:w="3009"/>
      </w:tblGrid>
      <w:tr w:rsidR="00ED25C8">
        <w:trPr>
          <w:trHeight w:val="499"/>
        </w:trPr>
        <w:tc>
          <w:tcPr>
            <w:tcW w:w="14061" w:type="dxa"/>
            <w:gridSpan w:val="8"/>
            <w:tcBorders>
              <w:top w:val="nil"/>
              <w:left w:val="nil"/>
              <w:bottom w:val="single" w:sz="4" w:space="0" w:color="auto"/>
              <w:right w:val="nil"/>
            </w:tcBorders>
            <w:noWrap/>
            <w:vAlign w:val="bottom"/>
          </w:tcPr>
          <w:p w:rsidR="00ED25C8" w:rsidRDefault="000C0CEB">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t>2023</w:t>
            </w:r>
            <w:r>
              <w:rPr>
                <w:rFonts w:ascii="方正小标宋简体" w:eastAsia="方正小标宋简体" w:hAnsi="黑体" w:cs="宋体" w:hint="eastAsia"/>
                <w:color w:val="000000"/>
                <w:kern w:val="0"/>
                <w:sz w:val="44"/>
                <w:szCs w:val="44"/>
              </w:rPr>
              <w:t>年部门整体绩效评价指标体系评分表</w:t>
            </w:r>
          </w:p>
        </w:tc>
      </w:tr>
      <w:tr w:rsidR="00ED25C8">
        <w:trPr>
          <w:trHeight w:val="90"/>
        </w:trPr>
        <w:tc>
          <w:tcPr>
            <w:tcW w:w="14061" w:type="dxa"/>
            <w:gridSpan w:val="8"/>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ED25C8">
        <w:trPr>
          <w:trHeight w:val="90"/>
        </w:trPr>
        <w:tc>
          <w:tcPr>
            <w:tcW w:w="104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107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ED25C8">
        <w:trPr>
          <w:trHeight w:val="90"/>
        </w:trPr>
        <w:tc>
          <w:tcPr>
            <w:tcW w:w="1043" w:type="dxa"/>
            <w:vMerge w:val="restart"/>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107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115,230.34</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109.862.92</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95.3</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837" w:type="dxa"/>
            <w:vMerge w:val="restart"/>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709" w:type="dxa"/>
            <w:vMerge w:val="restart"/>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19.07</w:t>
            </w:r>
            <w:r>
              <w:rPr>
                <w:rFonts w:ascii="宋体" w:hAnsi="宋体" w:cs="宋体" w:hint="eastAsia"/>
                <w:color w:val="000000"/>
                <w:kern w:val="0"/>
                <w:sz w:val="20"/>
                <w:szCs w:val="20"/>
              </w:rPr>
              <w:t xml:space="preserve">　</w:t>
            </w:r>
          </w:p>
        </w:tc>
        <w:tc>
          <w:tcPr>
            <w:tcW w:w="3009" w:type="dxa"/>
            <w:vMerge w:val="restart"/>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18"/>
                <w:szCs w:val="18"/>
              </w:rPr>
              <w:t>该项得分</w:t>
            </w:r>
            <w:r>
              <w:rPr>
                <w:rFonts w:ascii="宋体" w:hAnsi="宋体" w:cs="宋体" w:hint="eastAsia"/>
                <w:color w:val="000000"/>
                <w:kern w:val="0"/>
                <w:sz w:val="18"/>
                <w:szCs w:val="18"/>
              </w:rPr>
              <w:t>=</w:t>
            </w:r>
            <w:r>
              <w:rPr>
                <w:rFonts w:ascii="宋体" w:hAnsi="宋体" w:cs="宋体" w:hint="eastAsia"/>
                <w:color w:val="000000"/>
                <w:kern w:val="0"/>
                <w:sz w:val="18"/>
                <w:szCs w:val="18"/>
              </w:rPr>
              <w:t>执行数</w:t>
            </w:r>
            <w:r>
              <w:rPr>
                <w:rFonts w:ascii="宋体" w:hAnsi="宋体" w:cs="宋体" w:hint="eastAsia"/>
                <w:color w:val="000000"/>
                <w:kern w:val="0"/>
                <w:sz w:val="18"/>
                <w:szCs w:val="18"/>
              </w:rPr>
              <w:t>/</w:t>
            </w:r>
            <w:r>
              <w:rPr>
                <w:rFonts w:ascii="宋体" w:hAnsi="宋体" w:cs="宋体" w:hint="eastAsia"/>
                <w:color w:val="000000"/>
                <w:kern w:val="0"/>
                <w:sz w:val="18"/>
                <w:szCs w:val="18"/>
              </w:rPr>
              <w:t>预算数</w:t>
            </w:r>
            <w:r>
              <w:rPr>
                <w:rFonts w:ascii="宋体" w:hAnsi="宋体" w:cs="宋体" w:hint="eastAsia"/>
                <w:color w:val="000000"/>
                <w:kern w:val="0"/>
                <w:sz w:val="18"/>
                <w:szCs w:val="18"/>
              </w:rPr>
              <w:t>*20</w:t>
            </w:r>
            <w:r>
              <w:rPr>
                <w:rFonts w:ascii="宋体" w:hAnsi="宋体" w:cs="宋体" w:hint="eastAsia"/>
                <w:color w:val="000000"/>
                <w:kern w:val="0"/>
                <w:sz w:val="18"/>
                <w:szCs w:val="18"/>
              </w:rPr>
              <w:t>分</w:t>
            </w:r>
          </w:p>
        </w:tc>
      </w:tr>
      <w:tr w:rsidR="00ED25C8">
        <w:trPr>
          <w:trHeight w:val="90"/>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39,481.80</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36,721.56</w:t>
            </w:r>
          </w:p>
        </w:tc>
        <w:tc>
          <w:tcPr>
            <w:tcW w:w="3308" w:type="dxa"/>
            <w:vMerge w:val="restart"/>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37"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300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18"/>
                <w:szCs w:val="18"/>
              </w:rPr>
            </w:pPr>
          </w:p>
        </w:tc>
      </w:tr>
      <w:tr w:rsidR="00ED25C8">
        <w:trPr>
          <w:trHeight w:val="90"/>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75,748.54</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73,141.36</w:t>
            </w:r>
          </w:p>
        </w:tc>
        <w:tc>
          <w:tcPr>
            <w:tcW w:w="3308"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837"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300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18"/>
                <w:szCs w:val="18"/>
              </w:rPr>
            </w:pPr>
          </w:p>
        </w:tc>
      </w:tr>
      <w:tr w:rsidR="00ED25C8">
        <w:trPr>
          <w:trHeight w:val="90"/>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308"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837"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300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18"/>
                <w:szCs w:val="18"/>
              </w:rPr>
            </w:pPr>
          </w:p>
        </w:tc>
      </w:tr>
      <w:tr w:rsidR="00ED25C8">
        <w:trPr>
          <w:trHeight w:val="90"/>
        </w:trPr>
        <w:tc>
          <w:tcPr>
            <w:tcW w:w="14061" w:type="dxa"/>
            <w:gridSpan w:val="8"/>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ED25C8">
        <w:trPr>
          <w:trHeight w:val="90"/>
        </w:trPr>
        <w:tc>
          <w:tcPr>
            <w:tcW w:w="104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107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18"/>
                <w:szCs w:val="18"/>
              </w:rPr>
            </w:pPr>
            <w:r>
              <w:rPr>
                <w:rFonts w:ascii="宋体" w:hAnsi="宋体" w:cs="宋体" w:hint="eastAsia"/>
                <w:color w:val="000000"/>
                <w:kern w:val="0"/>
                <w:sz w:val="18"/>
                <w:szCs w:val="18"/>
              </w:rPr>
              <w:t>评分标准</w:t>
            </w:r>
          </w:p>
        </w:tc>
      </w:tr>
      <w:tr w:rsidR="00ED25C8">
        <w:trPr>
          <w:trHeight w:val="1321"/>
        </w:trPr>
        <w:tc>
          <w:tcPr>
            <w:tcW w:w="1043" w:type="dxa"/>
            <w:vMerge w:val="restart"/>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1079" w:type="dxa"/>
            <w:vMerge w:val="restart"/>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center"/>
              <w:rPr>
                <w:rFonts w:ascii="宋体" w:hAnsi="宋体" w:cs="宋体"/>
                <w:color w:val="000000"/>
                <w:kern w:val="0"/>
                <w:sz w:val="20"/>
                <w:szCs w:val="20"/>
              </w:rPr>
            </w:pPr>
          </w:p>
          <w:p w:rsidR="00ED25C8" w:rsidRDefault="000C0CEB">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jc w:val="left"/>
              <w:rPr>
                <w:rFonts w:ascii="宋体" w:hAnsi="宋体" w:cs="宋体"/>
                <w:color w:val="000000"/>
                <w:kern w:val="0"/>
                <w:sz w:val="20"/>
                <w:szCs w:val="20"/>
              </w:rPr>
            </w:pPr>
            <w:r>
              <w:rPr>
                <w:rFonts w:ascii="宋体" w:hAnsi="宋体" w:cs="宋体" w:hint="eastAsia"/>
                <w:color w:val="000000"/>
                <w:kern w:val="0"/>
                <w:sz w:val="20"/>
                <w:szCs w:val="20"/>
              </w:rPr>
              <w:t>产出指标数量指标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演出运营：新制作剧目产品</w:t>
            </w:r>
            <w:r>
              <w:rPr>
                <w:rFonts w:ascii="宋体" w:hAnsi="宋体" w:cs="宋体" w:hint="eastAsia"/>
                <w:color w:val="000000"/>
                <w:kern w:val="0"/>
                <w:sz w:val="20"/>
                <w:szCs w:val="20"/>
              </w:rPr>
              <w:t>/</w:t>
            </w:r>
            <w:r>
              <w:rPr>
                <w:rFonts w:ascii="宋体" w:hAnsi="宋体" w:cs="宋体" w:hint="eastAsia"/>
                <w:color w:val="000000"/>
                <w:kern w:val="0"/>
                <w:sz w:val="20"/>
                <w:szCs w:val="20"/>
              </w:rPr>
              <w:t>自制剧目复排数量≥</w:t>
            </w:r>
            <w:r>
              <w:rPr>
                <w:rFonts w:ascii="宋体" w:hAnsi="宋体" w:cs="宋体" w:hint="eastAsia"/>
                <w:color w:val="000000"/>
                <w:kern w:val="0"/>
                <w:sz w:val="20"/>
                <w:szCs w:val="20"/>
              </w:rPr>
              <w:t>90</w:t>
            </w:r>
            <w:r>
              <w:rPr>
                <w:rFonts w:ascii="宋体" w:hAnsi="宋体" w:cs="宋体" w:hint="eastAsia"/>
                <w:color w:val="000000"/>
                <w:kern w:val="0"/>
                <w:sz w:val="20"/>
                <w:szCs w:val="20"/>
              </w:rPr>
              <w:t>场</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新排剧目</w:t>
            </w:r>
            <w:r>
              <w:rPr>
                <w:rFonts w:ascii="宋体" w:hAnsi="宋体" w:cs="宋体" w:hint="eastAsia"/>
                <w:color w:val="000000"/>
                <w:kern w:val="0"/>
                <w:sz w:val="20"/>
                <w:szCs w:val="20"/>
              </w:rPr>
              <w:t>20</w:t>
            </w:r>
            <w:r>
              <w:rPr>
                <w:rFonts w:ascii="宋体" w:hAnsi="宋体" w:cs="宋体" w:hint="eastAsia"/>
                <w:color w:val="000000"/>
                <w:kern w:val="0"/>
                <w:sz w:val="20"/>
                <w:szCs w:val="20"/>
              </w:rPr>
              <w:t>场；复排剧目</w:t>
            </w:r>
            <w:r>
              <w:rPr>
                <w:rFonts w:ascii="宋体" w:hAnsi="宋体" w:cs="宋体" w:hint="eastAsia"/>
                <w:color w:val="000000"/>
                <w:kern w:val="0"/>
                <w:sz w:val="20"/>
                <w:szCs w:val="20"/>
              </w:rPr>
              <w:t>98</w:t>
            </w:r>
            <w:r>
              <w:rPr>
                <w:rFonts w:ascii="宋体" w:hAnsi="宋体" w:cs="宋体" w:hint="eastAsia"/>
                <w:color w:val="000000"/>
                <w:kern w:val="0"/>
                <w:sz w:val="20"/>
                <w:szCs w:val="20"/>
              </w:rPr>
              <w:t>场</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ED25C8" w:rsidRDefault="000C0CEB">
            <w:pPr>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按照完成率计算分值。</w:t>
            </w:r>
          </w:p>
        </w:tc>
      </w:tr>
      <w:tr w:rsidR="00ED25C8">
        <w:trPr>
          <w:trHeight w:val="1408"/>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center"/>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jc w:val="center"/>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舞台艺术电影后期制作数量≥</w:t>
            </w:r>
            <w:r>
              <w:rPr>
                <w:rFonts w:ascii="宋体" w:hAnsi="宋体" w:cs="宋体" w:hint="eastAsia"/>
                <w:color w:val="000000"/>
                <w:kern w:val="0"/>
                <w:sz w:val="20"/>
                <w:szCs w:val="20"/>
              </w:rPr>
              <w:t>1</w:t>
            </w:r>
            <w:r>
              <w:rPr>
                <w:rFonts w:ascii="宋体" w:hAnsi="宋体" w:cs="宋体" w:hint="eastAsia"/>
                <w:color w:val="000000"/>
                <w:kern w:val="0"/>
                <w:sz w:val="20"/>
                <w:szCs w:val="20"/>
              </w:rPr>
              <w:t>部</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hint="eastAsia"/>
                <w:color w:val="000000"/>
                <w:kern w:val="0"/>
                <w:sz w:val="20"/>
                <w:szCs w:val="20"/>
              </w:rPr>
              <w:t>1</w:t>
            </w:r>
            <w:r>
              <w:rPr>
                <w:rFonts w:ascii="宋体" w:hAnsi="宋体" w:cs="宋体" w:hint="eastAsia"/>
                <w:color w:val="000000"/>
                <w:kern w:val="0"/>
                <w:sz w:val="20"/>
                <w:szCs w:val="20"/>
              </w:rPr>
              <w:t>部纪录电影《永不落幕的舞台》后期制作</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ED25C8" w:rsidRDefault="000C0CEB">
            <w:pPr>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按照完成率计算分值。</w:t>
            </w:r>
          </w:p>
        </w:tc>
      </w:tr>
      <w:tr w:rsidR="00ED25C8">
        <w:trPr>
          <w:trHeight w:val="1408"/>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center"/>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jc w:val="center"/>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产出指标数量指标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艺术教育交流：录制舞台艺术电影数量≥</w:t>
            </w:r>
            <w:r>
              <w:rPr>
                <w:rFonts w:ascii="宋体" w:hAnsi="宋体" w:cs="宋体" w:hint="eastAsia"/>
                <w:color w:val="000000"/>
                <w:kern w:val="0"/>
                <w:sz w:val="20"/>
                <w:szCs w:val="20"/>
              </w:rPr>
              <w:t>2</w:t>
            </w:r>
            <w:r>
              <w:rPr>
                <w:rFonts w:ascii="宋体" w:hAnsi="宋体" w:cs="宋体" w:hint="eastAsia"/>
                <w:color w:val="000000"/>
                <w:kern w:val="0"/>
                <w:sz w:val="20"/>
                <w:szCs w:val="20"/>
              </w:rPr>
              <w:t>部</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hint="eastAsia"/>
                <w:color w:val="000000"/>
                <w:kern w:val="0"/>
                <w:sz w:val="20"/>
                <w:szCs w:val="20"/>
              </w:rPr>
              <w:t>3</w:t>
            </w:r>
            <w:r>
              <w:rPr>
                <w:rFonts w:ascii="宋体" w:hAnsi="宋体" w:cs="宋体" w:hint="eastAsia"/>
                <w:color w:val="000000"/>
                <w:kern w:val="0"/>
                <w:sz w:val="20"/>
                <w:szCs w:val="20"/>
              </w:rPr>
              <w:t>部舞台艺术电影《托斯卡》《冼星海》《茶花女》的拍摄</w:t>
            </w:r>
          </w:p>
          <w:p w:rsidR="00ED25C8" w:rsidRDefault="00ED25C8">
            <w:pPr>
              <w:widowControl/>
              <w:jc w:val="left"/>
              <w:rPr>
                <w:rFonts w:ascii="宋体" w:hAnsi="宋体" w:cs="宋体"/>
                <w:color w:val="000000"/>
                <w:kern w:val="0"/>
                <w:sz w:val="20"/>
                <w:szCs w:val="20"/>
              </w:rPr>
            </w:pP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ED25C8" w:rsidRDefault="000C0CEB">
            <w:pPr>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按照完成率计算分值。</w:t>
            </w:r>
          </w:p>
        </w:tc>
      </w:tr>
      <w:tr w:rsidR="00ED25C8">
        <w:trPr>
          <w:trHeight w:val="1046"/>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center"/>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jc w:val="center"/>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产出指标数量指标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艺术教育交流：管弦巡演场次≥</w:t>
            </w:r>
            <w:r>
              <w:rPr>
                <w:rFonts w:ascii="宋体" w:hAnsi="宋体" w:cs="宋体" w:hint="eastAsia"/>
                <w:color w:val="000000"/>
                <w:kern w:val="0"/>
                <w:sz w:val="20"/>
                <w:szCs w:val="20"/>
              </w:rPr>
              <w:t>5</w:t>
            </w:r>
            <w:r>
              <w:rPr>
                <w:rFonts w:ascii="宋体" w:hAnsi="宋体" w:cs="宋体" w:hint="eastAsia"/>
                <w:color w:val="000000"/>
                <w:kern w:val="0"/>
                <w:sz w:val="20"/>
                <w:szCs w:val="20"/>
              </w:rPr>
              <w:t>场</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rPr>
                <w:rFonts w:ascii="宋体" w:hAnsi="宋体" w:cs="宋体"/>
                <w:color w:val="000000"/>
                <w:kern w:val="0"/>
                <w:sz w:val="20"/>
                <w:szCs w:val="20"/>
              </w:rPr>
            </w:pPr>
            <w:r>
              <w:rPr>
                <w:rFonts w:ascii="宋体" w:hAnsi="宋体" w:cs="宋体" w:hint="eastAsia"/>
                <w:color w:val="000000"/>
                <w:kern w:val="0"/>
                <w:sz w:val="20"/>
                <w:szCs w:val="20"/>
              </w:rPr>
              <w:t>已完成管弦巡演</w:t>
            </w:r>
            <w:r>
              <w:rPr>
                <w:rFonts w:ascii="宋体" w:hAnsi="宋体" w:cs="宋体" w:hint="eastAsia"/>
                <w:color w:val="000000"/>
                <w:kern w:val="0"/>
                <w:sz w:val="20"/>
                <w:szCs w:val="20"/>
              </w:rPr>
              <w:t>8</w:t>
            </w:r>
            <w:r>
              <w:rPr>
                <w:rFonts w:ascii="宋体" w:hAnsi="宋体" w:cs="宋体" w:hint="eastAsia"/>
                <w:color w:val="000000"/>
                <w:kern w:val="0"/>
                <w:sz w:val="20"/>
                <w:szCs w:val="20"/>
              </w:rPr>
              <w:t>场</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按照完成率计算分值。</w:t>
            </w:r>
          </w:p>
        </w:tc>
      </w:tr>
      <w:tr w:rsidR="00ED25C8">
        <w:trPr>
          <w:trHeight w:val="90"/>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产出指标数量指标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艺术教育交流：开展国际文化交流活动次数≥</w:t>
            </w:r>
            <w:r>
              <w:rPr>
                <w:rFonts w:ascii="宋体" w:hAnsi="宋体" w:cs="宋体" w:hint="eastAsia"/>
                <w:color w:val="000000"/>
                <w:kern w:val="0"/>
                <w:sz w:val="20"/>
                <w:szCs w:val="20"/>
              </w:rPr>
              <w:t>70</w:t>
            </w:r>
            <w:r>
              <w:rPr>
                <w:rFonts w:ascii="宋体" w:hAnsi="宋体" w:cs="宋体" w:hint="eastAsia"/>
                <w:color w:val="000000"/>
                <w:kern w:val="0"/>
                <w:sz w:val="20"/>
                <w:szCs w:val="20"/>
              </w:rPr>
              <w:t>次</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rPr>
                <w:rFonts w:ascii="宋体" w:hAnsi="宋体" w:cs="宋体"/>
                <w:color w:val="000000"/>
                <w:kern w:val="0"/>
                <w:sz w:val="20"/>
                <w:szCs w:val="20"/>
              </w:rPr>
            </w:pPr>
            <w:r>
              <w:rPr>
                <w:rFonts w:ascii="宋体" w:hAnsi="宋体" w:cs="宋体" w:hint="eastAsia"/>
                <w:color w:val="000000"/>
                <w:kern w:val="0"/>
                <w:sz w:val="20"/>
                <w:szCs w:val="20"/>
              </w:rPr>
              <w:t>全年完成文化交流活动</w:t>
            </w:r>
            <w:r>
              <w:rPr>
                <w:rFonts w:ascii="宋体" w:hAnsi="宋体" w:cs="宋体" w:hint="eastAsia"/>
                <w:color w:val="000000"/>
                <w:kern w:val="0"/>
                <w:sz w:val="20"/>
                <w:szCs w:val="20"/>
              </w:rPr>
              <w:t>117</w:t>
            </w:r>
            <w:r>
              <w:rPr>
                <w:rFonts w:ascii="宋体" w:hAnsi="宋体" w:cs="宋体" w:hint="eastAsia"/>
                <w:color w:val="000000"/>
                <w:kern w:val="0"/>
                <w:sz w:val="20"/>
                <w:szCs w:val="20"/>
              </w:rPr>
              <w:t>次</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按照完成率计算分值。</w:t>
            </w:r>
          </w:p>
        </w:tc>
      </w:tr>
      <w:tr w:rsidR="00ED25C8">
        <w:trPr>
          <w:trHeight w:val="1569"/>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产出指标数量指标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艺术教育交流：组织</w:t>
            </w:r>
            <w:r>
              <w:rPr>
                <w:rFonts w:ascii="宋体" w:hAnsi="宋体" w:cs="宋体" w:hint="eastAsia"/>
                <w:color w:val="000000"/>
                <w:kern w:val="0"/>
                <w:sz w:val="20"/>
                <w:szCs w:val="20"/>
              </w:rPr>
              <w:t>202</w:t>
            </w:r>
            <w:r>
              <w:rPr>
                <w:rFonts w:ascii="宋体" w:hAnsi="宋体" w:cs="宋体" w:hint="eastAsia"/>
                <w:color w:val="000000"/>
                <w:kern w:val="0"/>
                <w:sz w:val="20"/>
                <w:szCs w:val="20"/>
              </w:rPr>
              <w:t>3</w:t>
            </w:r>
            <w:r>
              <w:rPr>
                <w:rFonts w:ascii="宋体" w:hAnsi="宋体" w:cs="宋体" w:hint="eastAsia"/>
                <w:color w:val="000000"/>
                <w:kern w:val="0"/>
                <w:sz w:val="20"/>
                <w:szCs w:val="20"/>
              </w:rPr>
              <w:t>国家大剧院国际歌剧电影展，舞台艺术电影常态化放映等展映推广活动≥</w:t>
            </w:r>
            <w:r>
              <w:rPr>
                <w:rFonts w:ascii="宋体" w:hAnsi="宋体" w:cs="宋体" w:hint="eastAsia"/>
                <w:color w:val="000000"/>
                <w:kern w:val="0"/>
                <w:sz w:val="20"/>
                <w:szCs w:val="20"/>
              </w:rPr>
              <w:t>1</w:t>
            </w:r>
            <w:r>
              <w:rPr>
                <w:rFonts w:ascii="宋体" w:hAnsi="宋体" w:cs="宋体" w:hint="eastAsia"/>
                <w:color w:val="000000"/>
                <w:kern w:val="0"/>
                <w:sz w:val="20"/>
                <w:szCs w:val="20"/>
              </w:rPr>
              <w:t>次</w:t>
            </w:r>
          </w:p>
        </w:tc>
        <w:tc>
          <w:tcPr>
            <w:tcW w:w="3308" w:type="dxa"/>
            <w:tcBorders>
              <w:top w:val="single" w:sz="4" w:space="0" w:color="auto"/>
              <w:left w:val="single" w:sz="4" w:space="0" w:color="auto"/>
              <w:bottom w:val="single" w:sz="4" w:space="0" w:color="auto"/>
              <w:right w:val="single" w:sz="4" w:space="0" w:color="auto"/>
            </w:tcBorders>
            <w:shd w:val="clear" w:color="auto" w:fill="auto"/>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举办国际电影展</w:t>
            </w:r>
            <w:r>
              <w:rPr>
                <w:rFonts w:ascii="宋体" w:hAnsi="宋体" w:cs="宋体" w:hint="eastAsia"/>
                <w:color w:val="000000"/>
                <w:kern w:val="0"/>
                <w:sz w:val="20"/>
                <w:szCs w:val="20"/>
              </w:rPr>
              <w:t>4</w:t>
            </w:r>
            <w:r>
              <w:rPr>
                <w:rFonts w:ascii="宋体" w:hAnsi="宋体" w:cs="宋体" w:hint="eastAsia"/>
                <w:color w:val="000000"/>
                <w:kern w:val="0"/>
                <w:sz w:val="20"/>
                <w:szCs w:val="20"/>
              </w:rPr>
              <w:t>次</w:t>
            </w:r>
          </w:p>
        </w:tc>
        <w:tc>
          <w:tcPr>
            <w:tcW w:w="837" w:type="dxa"/>
            <w:tcBorders>
              <w:top w:val="single" w:sz="4" w:space="0" w:color="auto"/>
              <w:left w:val="single" w:sz="4" w:space="0" w:color="auto"/>
              <w:bottom w:val="single" w:sz="4" w:space="0" w:color="auto"/>
              <w:right w:val="single" w:sz="4" w:space="0" w:color="auto"/>
            </w:tcBorders>
            <w:shd w:val="clear" w:color="auto" w:fill="auto"/>
            <w:vAlign w:val="center"/>
          </w:tcPr>
          <w:p w:rsidR="00ED25C8" w:rsidRDefault="000C0CEB">
            <w:pPr>
              <w:widowControl/>
              <w:jc w:val="center"/>
              <w:rPr>
                <w:rFonts w:ascii="宋体" w:hAnsi="宋体" w:cs="宋体"/>
                <w:kern w:val="0"/>
                <w:sz w:val="20"/>
                <w:szCs w:val="20"/>
              </w:rPr>
            </w:pPr>
            <w:r>
              <w:rPr>
                <w:rFonts w:ascii="宋体" w:hAnsi="宋体" w:cs="宋体" w:hint="eastAsia"/>
                <w:kern w:val="0"/>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25C8" w:rsidRDefault="000C0CEB">
            <w:pPr>
              <w:widowControl/>
              <w:jc w:val="center"/>
              <w:rPr>
                <w:rFonts w:ascii="宋体" w:hAnsi="宋体" w:cs="宋体"/>
                <w:kern w:val="0"/>
                <w:sz w:val="20"/>
                <w:szCs w:val="20"/>
              </w:rPr>
            </w:pPr>
            <w:r>
              <w:rPr>
                <w:rFonts w:ascii="宋体" w:hAnsi="宋体" w:cs="宋体" w:hint="eastAsia"/>
                <w:kern w:val="0"/>
                <w:sz w:val="20"/>
                <w:szCs w:val="20"/>
              </w:rPr>
              <w:t>2</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rsidR="00ED25C8" w:rsidRDefault="000C0CEB">
            <w:pPr>
              <w:widowControl/>
              <w:jc w:val="left"/>
              <w:rPr>
                <w:rFonts w:ascii="宋体" w:hAnsi="宋体" w:cs="宋体"/>
                <w:kern w:val="0"/>
                <w:sz w:val="18"/>
                <w:szCs w:val="18"/>
              </w:rPr>
            </w:pPr>
            <w:r>
              <w:rPr>
                <w:rFonts w:ascii="宋体" w:hAnsi="宋体" w:cs="宋体" w:hint="eastAsia"/>
                <w:kern w:val="0"/>
                <w:sz w:val="20"/>
                <w:szCs w:val="20"/>
                <w:lang/>
              </w:rPr>
              <w:t>按照完成率计算分值。</w:t>
            </w:r>
          </w:p>
        </w:tc>
      </w:tr>
      <w:tr w:rsidR="00ED25C8">
        <w:trPr>
          <w:trHeight w:val="386"/>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产出指标数量指标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演出运营：全年引进商业类演出数量≥</w:t>
            </w:r>
            <w:r>
              <w:rPr>
                <w:rFonts w:ascii="宋体" w:hAnsi="宋体" w:cs="宋体" w:hint="eastAsia"/>
                <w:color w:val="000000"/>
                <w:kern w:val="0"/>
                <w:sz w:val="20"/>
                <w:szCs w:val="20"/>
              </w:rPr>
              <w:t>500</w:t>
            </w:r>
            <w:r>
              <w:rPr>
                <w:rFonts w:ascii="宋体" w:hAnsi="宋体" w:cs="宋体" w:hint="eastAsia"/>
                <w:color w:val="000000"/>
                <w:kern w:val="0"/>
                <w:sz w:val="20"/>
                <w:szCs w:val="20"/>
              </w:rPr>
              <w:t>场</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color w:val="000000"/>
                <w:kern w:val="0"/>
                <w:sz w:val="20"/>
                <w:szCs w:val="20"/>
              </w:rPr>
              <w:t>202</w:t>
            </w:r>
            <w:r>
              <w:rPr>
                <w:rFonts w:ascii="宋体" w:hAnsi="宋体" w:cs="宋体" w:hint="eastAsia"/>
                <w:color w:val="000000"/>
                <w:kern w:val="0"/>
                <w:sz w:val="20"/>
                <w:szCs w:val="20"/>
              </w:rPr>
              <w:t>3</w:t>
            </w:r>
            <w:r>
              <w:rPr>
                <w:rFonts w:ascii="宋体" w:hAnsi="宋体" w:cs="宋体"/>
                <w:color w:val="000000"/>
                <w:kern w:val="0"/>
                <w:sz w:val="20"/>
                <w:szCs w:val="20"/>
              </w:rPr>
              <w:t>年年度内共</w:t>
            </w:r>
            <w:r>
              <w:rPr>
                <w:rFonts w:ascii="宋体" w:hAnsi="宋体" w:cs="宋体" w:hint="eastAsia"/>
                <w:color w:val="000000"/>
                <w:kern w:val="0"/>
                <w:sz w:val="20"/>
                <w:szCs w:val="20"/>
              </w:rPr>
              <w:t>引进</w:t>
            </w:r>
            <w:r>
              <w:rPr>
                <w:rFonts w:ascii="宋体" w:hAnsi="宋体" w:cs="宋体" w:hint="eastAsia"/>
                <w:color w:val="000000"/>
                <w:kern w:val="0"/>
                <w:sz w:val="20"/>
                <w:szCs w:val="20"/>
              </w:rPr>
              <w:t>669</w:t>
            </w:r>
            <w:r>
              <w:rPr>
                <w:rFonts w:ascii="宋体" w:hAnsi="宋体" w:cs="宋体"/>
                <w:color w:val="000000"/>
                <w:kern w:val="0"/>
                <w:sz w:val="20"/>
                <w:szCs w:val="20"/>
              </w:rPr>
              <w:t>场商业</w:t>
            </w:r>
            <w:r>
              <w:rPr>
                <w:rFonts w:ascii="宋体" w:hAnsi="宋体" w:cs="宋体" w:hint="eastAsia"/>
                <w:color w:val="000000"/>
                <w:kern w:val="0"/>
                <w:sz w:val="20"/>
                <w:szCs w:val="20"/>
              </w:rPr>
              <w:t>类</w:t>
            </w:r>
            <w:r>
              <w:rPr>
                <w:rFonts w:ascii="宋体" w:hAnsi="宋体" w:cs="宋体"/>
                <w:color w:val="000000"/>
                <w:kern w:val="0"/>
                <w:sz w:val="20"/>
                <w:szCs w:val="20"/>
              </w:rPr>
              <w:t>演出</w:t>
            </w:r>
            <w:r>
              <w:rPr>
                <w:rFonts w:ascii="宋体" w:hAnsi="宋体" w:cs="宋体" w:hint="eastAsia"/>
                <w:color w:val="000000"/>
                <w:kern w:val="0"/>
                <w:sz w:val="20"/>
                <w:szCs w:val="20"/>
              </w:rPr>
              <w:t>。</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按照完成率计算分值。</w:t>
            </w:r>
          </w:p>
        </w:tc>
      </w:tr>
      <w:tr w:rsidR="00ED25C8">
        <w:trPr>
          <w:trHeight w:val="361"/>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产出指标数量指标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艺术教育交流：艺术普及教育活动开展数量≥</w:t>
            </w:r>
            <w:r>
              <w:rPr>
                <w:rFonts w:ascii="宋体" w:hAnsi="宋体" w:cs="宋体" w:hint="eastAsia"/>
                <w:color w:val="000000"/>
                <w:kern w:val="0"/>
                <w:sz w:val="20"/>
                <w:szCs w:val="20"/>
              </w:rPr>
              <w:t>680</w:t>
            </w:r>
            <w:r>
              <w:rPr>
                <w:rFonts w:ascii="宋体" w:hAnsi="宋体" w:cs="宋体" w:hint="eastAsia"/>
                <w:color w:val="000000"/>
                <w:kern w:val="0"/>
                <w:sz w:val="20"/>
                <w:szCs w:val="20"/>
              </w:rPr>
              <w:t>场</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艺术普及教育活动开展数量</w:t>
            </w:r>
            <w:r>
              <w:rPr>
                <w:rFonts w:ascii="宋体" w:hAnsi="宋体" w:cs="宋体" w:hint="eastAsia"/>
                <w:color w:val="000000"/>
                <w:kern w:val="0"/>
                <w:sz w:val="20"/>
                <w:szCs w:val="20"/>
              </w:rPr>
              <w:t>746</w:t>
            </w:r>
            <w:r>
              <w:rPr>
                <w:rFonts w:ascii="宋体" w:hAnsi="宋体" w:cs="宋体" w:hint="eastAsia"/>
                <w:color w:val="000000"/>
                <w:kern w:val="0"/>
                <w:sz w:val="20"/>
                <w:szCs w:val="20"/>
              </w:rPr>
              <w:t>场，包括如下：周末音乐会</w:t>
            </w:r>
            <w:r>
              <w:rPr>
                <w:rFonts w:ascii="宋体" w:hAnsi="宋体" w:cs="宋体" w:hint="eastAsia"/>
                <w:color w:val="000000"/>
                <w:kern w:val="0"/>
                <w:sz w:val="20"/>
                <w:szCs w:val="20"/>
              </w:rPr>
              <w:t>50</w:t>
            </w:r>
            <w:r>
              <w:rPr>
                <w:rFonts w:ascii="宋体" w:hAnsi="宋体" w:cs="宋体" w:hint="eastAsia"/>
                <w:color w:val="000000"/>
                <w:kern w:val="0"/>
                <w:sz w:val="20"/>
                <w:szCs w:val="20"/>
              </w:rPr>
              <w:t>场；经典艺术讲堂讲座</w:t>
            </w:r>
            <w:r>
              <w:rPr>
                <w:rFonts w:ascii="宋体" w:hAnsi="宋体" w:cs="宋体" w:hint="eastAsia"/>
                <w:color w:val="000000"/>
                <w:kern w:val="0"/>
                <w:sz w:val="20"/>
                <w:szCs w:val="20"/>
              </w:rPr>
              <w:t>62</w:t>
            </w:r>
            <w:r>
              <w:rPr>
                <w:rFonts w:ascii="宋体" w:hAnsi="宋体" w:cs="宋体" w:hint="eastAsia"/>
                <w:color w:val="000000"/>
                <w:kern w:val="0"/>
                <w:sz w:val="20"/>
                <w:szCs w:val="20"/>
              </w:rPr>
              <w:t>场，演前导赏</w:t>
            </w:r>
            <w:r>
              <w:rPr>
                <w:rFonts w:ascii="宋体" w:hAnsi="宋体" w:cs="宋体" w:hint="eastAsia"/>
                <w:color w:val="000000"/>
                <w:kern w:val="0"/>
                <w:sz w:val="20"/>
                <w:szCs w:val="20"/>
              </w:rPr>
              <w:t>40</w:t>
            </w:r>
            <w:r>
              <w:rPr>
                <w:rFonts w:ascii="宋体" w:hAnsi="宋体" w:cs="宋体" w:hint="eastAsia"/>
                <w:color w:val="000000"/>
                <w:kern w:val="0"/>
                <w:sz w:val="20"/>
                <w:szCs w:val="20"/>
              </w:rPr>
              <w:t>场；美育芳草青</w:t>
            </w:r>
            <w:r>
              <w:rPr>
                <w:rFonts w:ascii="宋体" w:hAnsi="宋体" w:cs="宋体" w:hint="eastAsia"/>
                <w:color w:val="000000"/>
                <w:kern w:val="0"/>
                <w:sz w:val="20"/>
                <w:szCs w:val="20"/>
              </w:rPr>
              <w:t>-</w:t>
            </w:r>
            <w:r>
              <w:rPr>
                <w:rFonts w:ascii="宋体" w:hAnsi="宋体" w:cs="宋体" w:hint="eastAsia"/>
                <w:color w:val="000000"/>
                <w:kern w:val="0"/>
                <w:sz w:val="20"/>
                <w:szCs w:val="20"/>
              </w:rPr>
              <w:t>少青少年艺术节</w:t>
            </w:r>
            <w:r>
              <w:rPr>
                <w:rFonts w:ascii="宋体" w:hAnsi="宋体" w:cs="宋体" w:hint="eastAsia"/>
                <w:color w:val="000000"/>
                <w:kern w:val="0"/>
                <w:sz w:val="20"/>
                <w:szCs w:val="20"/>
              </w:rPr>
              <w:t>31</w:t>
            </w:r>
            <w:r>
              <w:rPr>
                <w:rFonts w:ascii="宋体" w:hAnsi="宋体" w:cs="宋体" w:hint="eastAsia"/>
                <w:color w:val="000000"/>
                <w:kern w:val="0"/>
                <w:sz w:val="20"/>
                <w:szCs w:val="20"/>
              </w:rPr>
              <w:t>场</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；公共空间演出</w:t>
            </w:r>
            <w:r>
              <w:rPr>
                <w:rFonts w:ascii="宋体" w:hAnsi="宋体" w:cs="宋体" w:hint="eastAsia"/>
                <w:color w:val="000000"/>
                <w:kern w:val="0"/>
                <w:sz w:val="20"/>
                <w:szCs w:val="20"/>
              </w:rPr>
              <w:t>351</w:t>
            </w:r>
            <w:r>
              <w:rPr>
                <w:rFonts w:ascii="宋体" w:hAnsi="宋体" w:cs="宋体" w:hint="eastAsia"/>
                <w:color w:val="000000"/>
                <w:kern w:val="0"/>
                <w:sz w:val="20"/>
                <w:szCs w:val="20"/>
              </w:rPr>
              <w:t>场；春华秋实</w:t>
            </w:r>
            <w:r>
              <w:rPr>
                <w:rFonts w:ascii="宋体" w:hAnsi="宋体" w:cs="宋体" w:hint="eastAsia"/>
                <w:color w:val="000000"/>
                <w:kern w:val="0"/>
                <w:sz w:val="20"/>
                <w:szCs w:val="20"/>
              </w:rPr>
              <w:t>12</w:t>
            </w:r>
            <w:r>
              <w:rPr>
                <w:rFonts w:ascii="宋体" w:hAnsi="宋体" w:cs="宋体" w:hint="eastAsia"/>
                <w:color w:val="000000"/>
                <w:kern w:val="0"/>
                <w:sz w:val="20"/>
                <w:szCs w:val="20"/>
              </w:rPr>
              <w:t>场；线上</w:t>
            </w:r>
            <w:r>
              <w:rPr>
                <w:rFonts w:ascii="宋体" w:hAnsi="宋体" w:cs="宋体" w:hint="eastAsia"/>
                <w:color w:val="000000"/>
                <w:kern w:val="0"/>
                <w:sz w:val="20"/>
                <w:szCs w:val="20"/>
              </w:rPr>
              <w:t>40</w:t>
            </w:r>
            <w:r>
              <w:rPr>
                <w:rFonts w:ascii="宋体" w:hAnsi="宋体" w:cs="宋体" w:hint="eastAsia"/>
                <w:color w:val="000000"/>
                <w:kern w:val="0"/>
                <w:sz w:val="20"/>
                <w:szCs w:val="20"/>
              </w:rPr>
              <w:t>场、高雅艺术进校园</w:t>
            </w:r>
            <w:r>
              <w:rPr>
                <w:rFonts w:ascii="宋体" w:hAnsi="宋体" w:cs="宋体" w:hint="eastAsia"/>
                <w:color w:val="000000"/>
                <w:kern w:val="0"/>
                <w:sz w:val="20"/>
                <w:szCs w:val="20"/>
              </w:rPr>
              <w:t>40</w:t>
            </w:r>
            <w:r>
              <w:rPr>
                <w:rFonts w:ascii="宋体" w:hAnsi="宋体" w:cs="宋体" w:hint="eastAsia"/>
                <w:color w:val="000000"/>
                <w:kern w:val="0"/>
                <w:sz w:val="20"/>
                <w:szCs w:val="20"/>
              </w:rPr>
              <w:t>场；</w:t>
            </w:r>
            <w:r>
              <w:rPr>
                <w:rFonts w:ascii="宋体" w:hAnsi="宋体" w:cs="宋体" w:hint="eastAsia"/>
                <w:color w:val="000000"/>
                <w:kern w:val="0"/>
                <w:sz w:val="20"/>
                <w:szCs w:val="20"/>
              </w:rPr>
              <w:t>120</w:t>
            </w:r>
            <w:r>
              <w:rPr>
                <w:rFonts w:ascii="宋体" w:hAnsi="宋体" w:cs="宋体" w:hint="eastAsia"/>
                <w:color w:val="000000"/>
                <w:kern w:val="0"/>
                <w:sz w:val="20"/>
                <w:szCs w:val="20"/>
              </w:rPr>
              <w:t>场线上、线下活动。</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按照完成率计算分值。</w:t>
            </w:r>
          </w:p>
        </w:tc>
      </w:tr>
      <w:tr w:rsidR="00ED25C8">
        <w:trPr>
          <w:trHeight w:val="832"/>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产出指标数量指标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t>演出运营：新制作剧目产品</w:t>
            </w:r>
            <w:r>
              <w:rPr>
                <w:rStyle w:val="font11"/>
                <w:rFonts w:hint="default"/>
                <w:sz w:val="20"/>
                <w:szCs w:val="20"/>
                <w:lang/>
              </w:rPr>
              <w:t>/</w:t>
            </w:r>
            <w:r>
              <w:rPr>
                <w:rStyle w:val="font11"/>
                <w:rFonts w:hint="default"/>
                <w:sz w:val="20"/>
                <w:szCs w:val="20"/>
                <w:lang/>
              </w:rPr>
              <w:t>自制剧目复排演出数量</w:t>
            </w:r>
            <w:r>
              <w:rPr>
                <w:rStyle w:val="font11"/>
                <w:rFonts w:hint="default"/>
                <w:sz w:val="20"/>
                <w:szCs w:val="20"/>
                <w:lang/>
              </w:rPr>
              <w:t>≥19</w:t>
            </w:r>
            <w:r>
              <w:rPr>
                <w:rStyle w:val="font11"/>
                <w:rFonts w:hint="default"/>
                <w:sz w:val="20"/>
                <w:szCs w:val="20"/>
                <w:lang/>
              </w:rPr>
              <w:t>部</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t>共完成新排剧目</w:t>
            </w:r>
            <w:r>
              <w:rPr>
                <w:rStyle w:val="font11"/>
                <w:rFonts w:hint="default"/>
                <w:sz w:val="20"/>
                <w:szCs w:val="20"/>
                <w:lang/>
              </w:rPr>
              <w:t>4</w:t>
            </w:r>
            <w:r>
              <w:rPr>
                <w:rStyle w:val="font11"/>
                <w:rFonts w:hint="default"/>
                <w:sz w:val="20"/>
                <w:szCs w:val="20"/>
                <w:lang/>
              </w:rPr>
              <w:t>部；复排剧目</w:t>
            </w:r>
            <w:r>
              <w:rPr>
                <w:rStyle w:val="font11"/>
                <w:rFonts w:hint="default"/>
                <w:sz w:val="20"/>
                <w:szCs w:val="20"/>
                <w:lang/>
              </w:rPr>
              <w:t>20</w:t>
            </w:r>
            <w:r>
              <w:rPr>
                <w:rStyle w:val="font11"/>
                <w:rFonts w:hint="default"/>
                <w:sz w:val="20"/>
                <w:szCs w:val="20"/>
                <w:lang/>
              </w:rPr>
              <w:t>部</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按照完成率计算分值。</w:t>
            </w:r>
          </w:p>
        </w:tc>
      </w:tr>
      <w:tr w:rsidR="00ED25C8">
        <w:trPr>
          <w:trHeight w:val="1036"/>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产出指标数量指标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t>演出运营：多种宣传渠道，宣传国家大剧院，介绍推广高雅艺术，普及艺术知识、提升民众艺术素养，宣传渠道</w:t>
            </w:r>
            <w:r>
              <w:rPr>
                <w:rStyle w:val="font11"/>
                <w:rFonts w:hint="default"/>
                <w:sz w:val="20"/>
                <w:szCs w:val="20"/>
                <w:lang/>
              </w:rPr>
              <w:t>≥3</w:t>
            </w:r>
            <w:r>
              <w:rPr>
                <w:rStyle w:val="font11"/>
                <w:rFonts w:hint="default"/>
                <w:sz w:val="20"/>
                <w:szCs w:val="20"/>
                <w:lang/>
              </w:rPr>
              <w:t>种</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sz w:val="20"/>
                <w:szCs w:val="20"/>
                <w:lang/>
              </w:rPr>
              <w:t>以户外媒体、报刊媒体、新媒体等多种宣传渠道，宣传推广国家大剧院及演出信息</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按照完成率计算分值。</w:t>
            </w:r>
          </w:p>
        </w:tc>
      </w:tr>
      <w:tr w:rsidR="00ED25C8">
        <w:trPr>
          <w:trHeight w:val="416"/>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产出指标数量指标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Style w:val="font11"/>
                <w:rFonts w:hint="default"/>
                <w:lang/>
              </w:rPr>
              <w:t>演出运营：</w:t>
            </w:r>
            <w:r>
              <w:rPr>
                <w:rStyle w:val="font11"/>
                <w:sz w:val="20"/>
                <w:szCs w:val="20"/>
                <w:lang/>
              </w:rPr>
              <w:t>北京艺术中心试运营</w:t>
            </w:r>
            <w:r>
              <w:rPr>
                <w:rStyle w:val="font11"/>
                <w:sz w:val="20"/>
                <w:szCs w:val="20"/>
                <w:lang/>
              </w:rPr>
              <w:t>外邀</w:t>
            </w:r>
            <w:r>
              <w:rPr>
                <w:rStyle w:val="font11"/>
                <w:sz w:val="20"/>
                <w:szCs w:val="20"/>
                <w:lang/>
              </w:rPr>
              <w:t>演出数量</w:t>
            </w:r>
            <w:r>
              <w:rPr>
                <w:rStyle w:val="font11"/>
                <w:rFonts w:hint="default"/>
                <w:lang/>
              </w:rPr>
              <w:t>≥</w:t>
            </w:r>
            <w:r>
              <w:rPr>
                <w:rStyle w:val="font11"/>
                <w:lang/>
              </w:rPr>
              <w:t>24</w:t>
            </w:r>
            <w:r>
              <w:rPr>
                <w:rStyle w:val="font11"/>
                <w:rFonts w:hint="default"/>
                <w:lang/>
              </w:rPr>
              <w:t>场</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rPr>
                <w:rFonts w:ascii="宋体" w:hAnsi="宋体" w:cs="宋体"/>
                <w:color w:val="000000"/>
                <w:kern w:val="0"/>
                <w:sz w:val="20"/>
                <w:szCs w:val="20"/>
              </w:rPr>
            </w:pPr>
            <w:r>
              <w:rPr>
                <w:rStyle w:val="font11"/>
                <w:sz w:val="20"/>
                <w:szCs w:val="20"/>
                <w:lang/>
              </w:rPr>
              <w:t>演出类型涵盖交响乐、民乐、合唱、话剧、戏曲、形体故事剧、亲子音乐会等多个艺术门类，演出场次完成</w:t>
            </w:r>
            <w:r>
              <w:rPr>
                <w:rStyle w:val="font11"/>
                <w:sz w:val="20"/>
                <w:szCs w:val="20"/>
                <w:lang/>
              </w:rPr>
              <w:t>30</w:t>
            </w:r>
            <w:r>
              <w:rPr>
                <w:rStyle w:val="font11"/>
                <w:sz w:val="20"/>
                <w:szCs w:val="20"/>
                <w:lang/>
              </w:rPr>
              <w:t>场</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按照完成率计算分值。</w:t>
            </w:r>
          </w:p>
        </w:tc>
      </w:tr>
      <w:tr w:rsidR="00ED25C8">
        <w:trPr>
          <w:trHeight w:val="1408"/>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产出指标数量指标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t>演出运营：新制作剧目产品</w:t>
            </w:r>
            <w:r>
              <w:rPr>
                <w:rStyle w:val="font11"/>
                <w:rFonts w:hint="default"/>
                <w:sz w:val="20"/>
                <w:szCs w:val="20"/>
                <w:lang/>
              </w:rPr>
              <w:t>/</w:t>
            </w:r>
            <w:r>
              <w:rPr>
                <w:rStyle w:val="font11"/>
                <w:rFonts w:hint="default"/>
                <w:sz w:val="20"/>
                <w:szCs w:val="20"/>
                <w:lang/>
              </w:rPr>
              <w:t>自制剧目复排演出吸引观众人数</w:t>
            </w:r>
            <w:r>
              <w:rPr>
                <w:rStyle w:val="font11"/>
                <w:rFonts w:hint="default"/>
                <w:sz w:val="20"/>
                <w:szCs w:val="20"/>
                <w:lang/>
              </w:rPr>
              <w:t>≥9</w:t>
            </w:r>
            <w:r>
              <w:rPr>
                <w:rStyle w:val="font11"/>
                <w:rFonts w:hint="default"/>
                <w:sz w:val="20"/>
                <w:szCs w:val="20"/>
                <w:lang/>
              </w:rPr>
              <w:t>万人次</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t>新制作剧目产品</w:t>
            </w:r>
            <w:r>
              <w:rPr>
                <w:rStyle w:val="font11"/>
                <w:rFonts w:hint="default"/>
                <w:sz w:val="20"/>
                <w:szCs w:val="20"/>
                <w:lang/>
              </w:rPr>
              <w:t>/</w:t>
            </w:r>
            <w:r>
              <w:rPr>
                <w:rStyle w:val="font11"/>
                <w:rFonts w:hint="default"/>
                <w:sz w:val="20"/>
                <w:szCs w:val="20"/>
                <w:lang/>
              </w:rPr>
              <w:t>自制剧目复排演出吸实际售票</w:t>
            </w:r>
            <w:r>
              <w:rPr>
                <w:rStyle w:val="font11"/>
                <w:rFonts w:hint="default"/>
                <w:sz w:val="20"/>
                <w:szCs w:val="20"/>
                <w:lang/>
              </w:rPr>
              <w:t>120760</w:t>
            </w:r>
            <w:r>
              <w:rPr>
                <w:rStyle w:val="font11"/>
                <w:rFonts w:hint="default"/>
                <w:sz w:val="20"/>
                <w:szCs w:val="20"/>
                <w:lang/>
              </w:rPr>
              <w:t>张。</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按照完成率计算分值。</w:t>
            </w:r>
          </w:p>
        </w:tc>
      </w:tr>
      <w:tr w:rsidR="00ED25C8">
        <w:trPr>
          <w:trHeight w:val="2036"/>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产出指标质量指标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Style w:val="font11"/>
                <w:rFonts w:hint="default"/>
                <w:sz w:val="20"/>
                <w:szCs w:val="20"/>
                <w:lang/>
              </w:rPr>
              <w:t>演出运营：以歌、舞、剧、戏等艺术形式呈现经典作品，并在艺术质量上达到国内一流水准，满足中国观众对高雅艺术的欣赏要求及审美要求</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年我院上演各艺术门类商业演出</w:t>
            </w:r>
            <w:r>
              <w:rPr>
                <w:rFonts w:ascii="宋体" w:hAnsi="宋体" w:cs="宋体" w:hint="eastAsia"/>
                <w:color w:val="000000"/>
                <w:kern w:val="0"/>
                <w:sz w:val="20"/>
                <w:szCs w:val="20"/>
              </w:rPr>
              <w:t>8</w:t>
            </w:r>
            <w:r>
              <w:rPr>
                <w:rFonts w:ascii="宋体" w:hAnsi="宋体" w:cs="宋体" w:hint="eastAsia"/>
                <w:color w:val="000000"/>
                <w:kern w:val="0"/>
                <w:sz w:val="20"/>
                <w:szCs w:val="20"/>
              </w:rPr>
              <w:t>70</w:t>
            </w:r>
            <w:r>
              <w:rPr>
                <w:rFonts w:ascii="宋体" w:hAnsi="宋体" w:cs="宋体" w:hint="eastAsia"/>
                <w:color w:val="000000"/>
                <w:kern w:val="0"/>
                <w:sz w:val="20"/>
                <w:szCs w:val="20"/>
              </w:rPr>
              <w:t>场，聚合国内外一线名家名团，呈现各民族优秀艺术精品，持续掀起文化消费热潮。帮助</w:t>
            </w:r>
            <w:r>
              <w:rPr>
                <w:rFonts w:ascii="宋体" w:hAnsi="宋体" w:cs="宋体" w:hint="eastAsia"/>
                <w:color w:val="000000"/>
                <w:kern w:val="0"/>
                <w:sz w:val="20"/>
                <w:szCs w:val="20"/>
              </w:rPr>
              <w:t>117</w:t>
            </w:r>
            <w:r>
              <w:rPr>
                <w:rFonts w:ascii="宋体" w:hAnsi="宋体" w:cs="宋体" w:hint="eastAsia"/>
                <w:color w:val="000000"/>
                <w:kern w:val="0"/>
                <w:sz w:val="20"/>
                <w:szCs w:val="20"/>
              </w:rPr>
              <w:t>所学校</w:t>
            </w:r>
            <w:r>
              <w:rPr>
                <w:rFonts w:ascii="宋体" w:hAnsi="宋体" w:cs="宋体" w:hint="eastAsia"/>
                <w:color w:val="000000"/>
                <w:kern w:val="0"/>
                <w:sz w:val="20"/>
                <w:szCs w:val="20"/>
              </w:rPr>
              <w:t>6000</w:t>
            </w:r>
            <w:r>
              <w:rPr>
                <w:rFonts w:ascii="宋体" w:hAnsi="宋体" w:cs="宋体" w:hint="eastAsia"/>
                <w:color w:val="000000"/>
                <w:kern w:val="0"/>
                <w:sz w:val="20"/>
                <w:szCs w:val="20"/>
              </w:rPr>
              <w:t>余名学生登上了大剧院舞台；全年走进</w:t>
            </w:r>
            <w:r>
              <w:rPr>
                <w:rFonts w:ascii="宋体" w:hAnsi="宋体" w:cs="宋体" w:hint="eastAsia"/>
                <w:color w:val="000000"/>
                <w:kern w:val="0"/>
                <w:sz w:val="20"/>
                <w:szCs w:val="20"/>
              </w:rPr>
              <w:t xml:space="preserve"> 50</w:t>
            </w:r>
            <w:r>
              <w:rPr>
                <w:rFonts w:ascii="宋体" w:hAnsi="宋体" w:cs="宋体" w:hint="eastAsia"/>
                <w:color w:val="000000"/>
                <w:kern w:val="0"/>
                <w:sz w:val="20"/>
                <w:szCs w:val="20"/>
              </w:rPr>
              <w:t>余家郊区单位，极大丰富了当地群众的文化生活；举办</w:t>
            </w:r>
            <w:r>
              <w:rPr>
                <w:rFonts w:ascii="宋体" w:hAnsi="宋体" w:cs="宋体" w:hint="eastAsia"/>
                <w:color w:val="000000"/>
                <w:kern w:val="0"/>
                <w:sz w:val="20"/>
                <w:szCs w:val="20"/>
              </w:rPr>
              <w:t>42</w:t>
            </w:r>
            <w:r>
              <w:rPr>
                <w:rFonts w:ascii="宋体" w:hAnsi="宋体" w:cs="宋体" w:hint="eastAsia"/>
                <w:color w:val="000000"/>
                <w:kern w:val="0"/>
                <w:sz w:val="20"/>
                <w:szCs w:val="20"/>
              </w:rPr>
              <w:t>场主题艺术展览贯穿全年，囊括非遗文化、刻板印刷、中国戏</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曲、数字艺术、民族器乐、西方绘画、舞台美术等不同风格、不同形式的艺术之美。</w:t>
            </w:r>
            <w:bookmarkStart w:id="0" w:name="_GoBack"/>
            <w:bookmarkEnd w:id="0"/>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完成计划工作的</w:t>
            </w:r>
            <w:r>
              <w:rPr>
                <w:rFonts w:ascii="宋体" w:hAnsi="宋体" w:cs="宋体" w:hint="eastAsia"/>
                <w:color w:val="000000"/>
                <w:kern w:val="0"/>
                <w:sz w:val="20"/>
                <w:szCs w:val="20"/>
                <w:lang/>
              </w:rPr>
              <w:t>90%</w:t>
            </w:r>
            <w:r>
              <w:rPr>
                <w:rFonts w:ascii="宋体" w:hAnsi="宋体" w:cs="宋体" w:hint="eastAsia"/>
                <w:color w:val="000000"/>
                <w:kern w:val="0"/>
                <w:sz w:val="20"/>
                <w:szCs w:val="20"/>
                <w:lang/>
              </w:rPr>
              <w:t>以上，满分；每少完成</w:t>
            </w:r>
            <w:r>
              <w:rPr>
                <w:rFonts w:ascii="宋体" w:hAnsi="宋体" w:cs="宋体" w:hint="eastAsia"/>
                <w:color w:val="000000"/>
                <w:kern w:val="0"/>
                <w:sz w:val="20"/>
                <w:szCs w:val="20"/>
                <w:lang/>
              </w:rPr>
              <w:t>10%</w:t>
            </w:r>
            <w:r>
              <w:rPr>
                <w:rFonts w:ascii="宋体" w:hAnsi="宋体" w:cs="宋体" w:hint="eastAsia"/>
                <w:color w:val="000000"/>
                <w:kern w:val="0"/>
                <w:sz w:val="20"/>
                <w:szCs w:val="20"/>
                <w:lang/>
              </w:rPr>
              <w:t>的工作量或每有一处未充分实现扣</w:t>
            </w:r>
            <w:r>
              <w:rPr>
                <w:rFonts w:ascii="宋体" w:hAnsi="宋体" w:cs="宋体" w:hint="eastAsia"/>
                <w:color w:val="000000"/>
                <w:kern w:val="0"/>
                <w:sz w:val="20"/>
                <w:szCs w:val="20"/>
                <w:lang/>
              </w:rPr>
              <w:t>0.2</w:t>
            </w:r>
            <w:r>
              <w:rPr>
                <w:rFonts w:ascii="宋体" w:hAnsi="宋体" w:cs="宋体" w:hint="eastAsia"/>
                <w:color w:val="000000"/>
                <w:kern w:val="0"/>
                <w:sz w:val="20"/>
                <w:szCs w:val="20"/>
                <w:lang/>
              </w:rPr>
              <w:t>分，扣完为止。</w:t>
            </w:r>
          </w:p>
        </w:tc>
      </w:tr>
      <w:tr w:rsidR="00ED25C8">
        <w:trPr>
          <w:trHeight w:val="165"/>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产出指标质量指标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Style w:val="font11"/>
                <w:rFonts w:hint="default"/>
                <w:sz w:val="20"/>
                <w:szCs w:val="20"/>
                <w:lang/>
              </w:rPr>
              <w:t>演出运营：</w:t>
            </w:r>
            <w:r>
              <w:rPr>
                <w:rFonts w:ascii="宋体" w:hAnsi="宋体" w:cs="宋体" w:hint="eastAsia"/>
                <w:color w:val="000000"/>
                <w:kern w:val="0"/>
                <w:sz w:val="20"/>
                <w:szCs w:val="20"/>
              </w:rPr>
              <w:t>全年演出及各项活动无事故</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rPr>
                <w:rFonts w:ascii="宋体" w:hAnsi="宋体" w:cs="宋体"/>
                <w:color w:val="000000"/>
                <w:kern w:val="0"/>
                <w:sz w:val="20"/>
                <w:szCs w:val="20"/>
              </w:rPr>
            </w:pPr>
            <w:r>
              <w:rPr>
                <w:rFonts w:ascii="宋体" w:hAnsi="宋体" w:cs="宋体" w:hint="eastAsia"/>
                <w:color w:val="000000"/>
                <w:kern w:val="0"/>
                <w:sz w:val="20"/>
                <w:szCs w:val="20"/>
              </w:rPr>
              <w:t>全年演出及各项活动无事故。</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完成计划工作的</w:t>
            </w:r>
            <w:r>
              <w:rPr>
                <w:rFonts w:ascii="宋体" w:hAnsi="宋体" w:cs="宋体" w:hint="eastAsia"/>
                <w:color w:val="000000"/>
                <w:kern w:val="0"/>
                <w:sz w:val="20"/>
                <w:szCs w:val="20"/>
                <w:lang/>
              </w:rPr>
              <w:t>90%</w:t>
            </w:r>
            <w:r>
              <w:rPr>
                <w:rFonts w:ascii="宋体" w:hAnsi="宋体" w:cs="宋体" w:hint="eastAsia"/>
                <w:color w:val="000000"/>
                <w:kern w:val="0"/>
                <w:sz w:val="20"/>
                <w:szCs w:val="20"/>
                <w:lang/>
              </w:rPr>
              <w:t>以上，满分；每少完成</w:t>
            </w:r>
            <w:r>
              <w:rPr>
                <w:rFonts w:ascii="宋体" w:hAnsi="宋体" w:cs="宋体" w:hint="eastAsia"/>
                <w:color w:val="000000"/>
                <w:kern w:val="0"/>
                <w:sz w:val="20"/>
                <w:szCs w:val="20"/>
                <w:lang/>
              </w:rPr>
              <w:t>10%</w:t>
            </w:r>
            <w:r>
              <w:rPr>
                <w:rFonts w:ascii="宋体" w:hAnsi="宋体" w:cs="宋体" w:hint="eastAsia"/>
                <w:color w:val="000000"/>
                <w:kern w:val="0"/>
                <w:sz w:val="20"/>
                <w:szCs w:val="20"/>
                <w:lang/>
              </w:rPr>
              <w:t>的工作量或每有一处未充分实现扣</w:t>
            </w:r>
            <w:r>
              <w:rPr>
                <w:rFonts w:ascii="宋体" w:hAnsi="宋体" w:cs="宋体" w:hint="eastAsia"/>
                <w:color w:val="000000"/>
                <w:kern w:val="0"/>
                <w:sz w:val="20"/>
                <w:szCs w:val="20"/>
                <w:lang/>
              </w:rPr>
              <w:t>0.2</w:t>
            </w:r>
            <w:r>
              <w:rPr>
                <w:rFonts w:ascii="宋体" w:hAnsi="宋体" w:cs="宋体" w:hint="eastAsia"/>
                <w:color w:val="000000"/>
                <w:kern w:val="0"/>
                <w:sz w:val="20"/>
                <w:szCs w:val="20"/>
                <w:lang/>
              </w:rPr>
              <w:t>分，扣完为止。</w:t>
            </w:r>
          </w:p>
        </w:tc>
      </w:tr>
      <w:tr w:rsidR="00ED25C8">
        <w:trPr>
          <w:trHeight w:val="336"/>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产出指标时效指标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t>演出运营：各项工作按</w:t>
            </w:r>
            <w:r>
              <w:rPr>
                <w:rStyle w:val="font11"/>
                <w:rFonts w:hint="default"/>
                <w:sz w:val="20"/>
                <w:szCs w:val="20"/>
                <w:lang/>
              </w:rPr>
              <w:lastRenderedPageBreak/>
              <w:t>照</w:t>
            </w:r>
            <w:r>
              <w:rPr>
                <w:rStyle w:val="font11"/>
                <w:rFonts w:hint="default"/>
                <w:sz w:val="20"/>
                <w:szCs w:val="20"/>
                <w:lang/>
              </w:rPr>
              <w:t>202</w:t>
            </w:r>
            <w:r>
              <w:rPr>
                <w:rStyle w:val="font11"/>
                <w:sz w:val="20"/>
                <w:szCs w:val="20"/>
                <w:lang/>
              </w:rPr>
              <w:t>3</w:t>
            </w:r>
            <w:r>
              <w:rPr>
                <w:rStyle w:val="font11"/>
                <w:rFonts w:hint="default"/>
                <w:sz w:val="20"/>
                <w:szCs w:val="20"/>
                <w:lang/>
              </w:rPr>
              <w:t>年工作进度及绩效目标申报及合同、协议约定的时间进度实施，针对单位基本支出及自主实施的项目，项目进度应与预算进度相匹配</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lastRenderedPageBreak/>
              <w:t>原因：因部分演出、活动在年底举</w:t>
            </w:r>
            <w:r>
              <w:rPr>
                <w:rStyle w:val="font11"/>
                <w:rFonts w:hint="default"/>
                <w:sz w:val="20"/>
                <w:szCs w:val="20"/>
                <w:lang/>
              </w:rPr>
              <w:lastRenderedPageBreak/>
              <w:t>办，结束后来不及年底结算；部分工程项目尾款、保证金等未在当年完成支付；个别工作未按计划开展等原因。</w:t>
            </w:r>
          </w:p>
          <w:p w:rsidR="00ED25C8" w:rsidRDefault="000C0CEB">
            <w:pPr>
              <w:widowControl/>
              <w:jc w:val="left"/>
              <w:rPr>
                <w:rStyle w:val="font11"/>
                <w:rFonts w:hint="default"/>
                <w:sz w:val="20"/>
                <w:szCs w:val="20"/>
                <w:lang/>
              </w:rPr>
            </w:pPr>
            <w:r>
              <w:rPr>
                <w:rStyle w:val="font11"/>
                <w:rFonts w:hint="default"/>
                <w:sz w:val="20"/>
                <w:szCs w:val="20"/>
                <w:lang/>
              </w:rPr>
              <w:t>措施：延期到下年度执行的工作内容或款项支付须尽快完成，下年度加强各项目执行力度，加强跟踪各项目的执行情况。对于无法执行的内容，应交尽交，应交早交，及时调整预算及绩效目标申报表。</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1.6</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完成计划工作的</w:t>
            </w:r>
            <w:r>
              <w:rPr>
                <w:rFonts w:ascii="宋体" w:hAnsi="宋体" w:cs="宋体" w:hint="eastAsia"/>
                <w:color w:val="000000"/>
                <w:kern w:val="0"/>
                <w:sz w:val="20"/>
                <w:szCs w:val="20"/>
                <w:lang/>
              </w:rPr>
              <w:t>90%</w:t>
            </w:r>
            <w:r>
              <w:rPr>
                <w:rFonts w:ascii="宋体" w:hAnsi="宋体" w:cs="宋体" w:hint="eastAsia"/>
                <w:color w:val="000000"/>
                <w:kern w:val="0"/>
                <w:sz w:val="20"/>
                <w:szCs w:val="20"/>
                <w:lang/>
              </w:rPr>
              <w:t>以上，满分；</w:t>
            </w:r>
            <w:r>
              <w:rPr>
                <w:rFonts w:ascii="宋体" w:hAnsi="宋体" w:cs="宋体" w:hint="eastAsia"/>
                <w:color w:val="000000"/>
                <w:kern w:val="0"/>
                <w:sz w:val="20"/>
                <w:szCs w:val="20"/>
                <w:lang/>
              </w:rPr>
              <w:lastRenderedPageBreak/>
              <w:t>每少完成</w:t>
            </w:r>
            <w:r>
              <w:rPr>
                <w:rFonts w:ascii="宋体" w:hAnsi="宋体" w:cs="宋体" w:hint="eastAsia"/>
                <w:color w:val="000000"/>
                <w:kern w:val="0"/>
                <w:sz w:val="20"/>
                <w:szCs w:val="20"/>
                <w:lang/>
              </w:rPr>
              <w:t>10%</w:t>
            </w:r>
            <w:r>
              <w:rPr>
                <w:rFonts w:ascii="宋体" w:hAnsi="宋体" w:cs="宋体" w:hint="eastAsia"/>
                <w:color w:val="000000"/>
                <w:kern w:val="0"/>
                <w:sz w:val="20"/>
                <w:szCs w:val="20"/>
                <w:lang/>
              </w:rPr>
              <w:t>的工作量或每有一处未充分实现扣</w:t>
            </w:r>
            <w:r>
              <w:rPr>
                <w:rFonts w:ascii="宋体" w:hAnsi="宋体" w:cs="宋体" w:hint="eastAsia"/>
                <w:color w:val="000000"/>
                <w:kern w:val="0"/>
                <w:sz w:val="20"/>
                <w:szCs w:val="20"/>
                <w:lang/>
              </w:rPr>
              <w:t>0.2</w:t>
            </w:r>
            <w:r>
              <w:rPr>
                <w:rFonts w:ascii="宋体" w:hAnsi="宋体" w:cs="宋体" w:hint="eastAsia"/>
                <w:color w:val="000000"/>
                <w:kern w:val="0"/>
                <w:sz w:val="20"/>
                <w:szCs w:val="20"/>
                <w:lang/>
              </w:rPr>
              <w:t>分，扣完为止。</w:t>
            </w:r>
          </w:p>
        </w:tc>
      </w:tr>
      <w:tr w:rsidR="00ED25C8">
        <w:trPr>
          <w:trHeight w:val="336"/>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产出指标成本指标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演出运营：依法、依规、依程序使用财政资金，保证资金使用安全，部门整体支出成本控制在预算范围内，不得超预算，并采取措施节约财政资金。以既定预算发挥其最大的作用，尽可能实现财政资金使用效益最大化。</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我院积极贯彻节约理念，严格控制成本，我们显著提升了预算编审的科学性、准确性和规范性。遵循“应评尽评”的原则，全面开展预算评审工作，深入开展了项目成本预算绩效分析工作，竣工决算审计、政府采购、等多项措施，将“过紧日子”的理念落到实处，通过精细化的管理手段，切实降低了成本，实现了降本增效的目标。</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完成计划工作的</w:t>
            </w:r>
            <w:r>
              <w:rPr>
                <w:rFonts w:ascii="宋体" w:hAnsi="宋体" w:cs="宋体" w:hint="eastAsia"/>
                <w:color w:val="000000"/>
                <w:kern w:val="0"/>
                <w:sz w:val="20"/>
                <w:szCs w:val="20"/>
                <w:lang/>
              </w:rPr>
              <w:t>90%</w:t>
            </w:r>
            <w:r>
              <w:rPr>
                <w:rFonts w:ascii="宋体" w:hAnsi="宋体" w:cs="宋体" w:hint="eastAsia"/>
                <w:color w:val="000000"/>
                <w:kern w:val="0"/>
                <w:sz w:val="20"/>
                <w:szCs w:val="20"/>
                <w:lang/>
              </w:rPr>
              <w:t>以上，满分；每少完成</w:t>
            </w:r>
            <w:r>
              <w:rPr>
                <w:rFonts w:ascii="宋体" w:hAnsi="宋体" w:cs="宋体" w:hint="eastAsia"/>
                <w:color w:val="000000"/>
                <w:kern w:val="0"/>
                <w:sz w:val="20"/>
                <w:szCs w:val="20"/>
                <w:lang/>
              </w:rPr>
              <w:t>10%</w:t>
            </w:r>
            <w:r>
              <w:rPr>
                <w:rFonts w:ascii="宋体" w:hAnsi="宋体" w:cs="宋体" w:hint="eastAsia"/>
                <w:color w:val="000000"/>
                <w:kern w:val="0"/>
                <w:sz w:val="20"/>
                <w:szCs w:val="20"/>
                <w:lang/>
              </w:rPr>
              <w:t>的工作量或每有一处未充分实现扣</w:t>
            </w:r>
            <w:r>
              <w:rPr>
                <w:rFonts w:ascii="宋体" w:hAnsi="宋体" w:cs="宋体" w:hint="eastAsia"/>
                <w:color w:val="000000"/>
                <w:kern w:val="0"/>
                <w:sz w:val="20"/>
                <w:szCs w:val="20"/>
                <w:lang/>
              </w:rPr>
              <w:t>0.2</w:t>
            </w:r>
            <w:r>
              <w:rPr>
                <w:rFonts w:ascii="宋体" w:hAnsi="宋体" w:cs="宋体" w:hint="eastAsia"/>
                <w:color w:val="000000"/>
                <w:kern w:val="0"/>
                <w:sz w:val="20"/>
                <w:szCs w:val="20"/>
                <w:lang/>
              </w:rPr>
              <w:t>分，扣完为止。</w:t>
            </w:r>
          </w:p>
        </w:tc>
      </w:tr>
      <w:tr w:rsidR="00ED25C8">
        <w:trPr>
          <w:trHeight w:val="675"/>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val="restart"/>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效益指标社会效益指标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演出运营：通过召开新闻发布会，组织媒体采访，多轮次作品宣传，创造和谐的艺术氛围和社会环境，全面引导和提升国民的文化素质。</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rPr>
                <w:rFonts w:ascii="宋体" w:hAnsi="宋体" w:cs="宋体"/>
                <w:color w:val="000000"/>
                <w:kern w:val="0"/>
                <w:sz w:val="20"/>
                <w:szCs w:val="20"/>
              </w:rPr>
            </w:pPr>
            <w:r>
              <w:rPr>
                <w:rFonts w:ascii="宋体" w:hAnsi="宋体" w:cs="宋体" w:hint="eastAsia"/>
                <w:color w:val="000000"/>
                <w:kern w:val="0"/>
                <w:sz w:val="20"/>
                <w:szCs w:val="20"/>
              </w:rPr>
              <w:t>我们在宣传上找准发力点，自媒体粉丝数成倍增长、达到近</w:t>
            </w:r>
            <w:r>
              <w:rPr>
                <w:rFonts w:ascii="宋体" w:hAnsi="宋体" w:cs="宋体" w:hint="eastAsia"/>
                <w:color w:val="000000"/>
                <w:kern w:val="0"/>
                <w:sz w:val="20"/>
                <w:szCs w:val="20"/>
              </w:rPr>
              <w:t>2000</w:t>
            </w:r>
            <w:r>
              <w:rPr>
                <w:rFonts w:ascii="宋体" w:hAnsi="宋体" w:cs="宋体" w:hint="eastAsia"/>
                <w:color w:val="000000"/>
                <w:kern w:val="0"/>
                <w:sz w:val="20"/>
                <w:szCs w:val="20"/>
              </w:rPr>
              <w:t>万，海外社</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交媒体矩阵覆盖全球</w:t>
            </w:r>
            <w:r>
              <w:rPr>
                <w:rFonts w:ascii="宋体" w:hAnsi="宋体" w:cs="宋体" w:hint="eastAsia"/>
                <w:color w:val="000000"/>
                <w:kern w:val="0"/>
                <w:sz w:val="20"/>
                <w:szCs w:val="20"/>
              </w:rPr>
              <w:t>6</w:t>
            </w:r>
            <w:r>
              <w:rPr>
                <w:rFonts w:ascii="宋体" w:hAnsi="宋体" w:cs="宋体" w:hint="eastAsia"/>
                <w:color w:val="000000"/>
                <w:kern w:val="0"/>
                <w:sz w:val="20"/>
                <w:szCs w:val="20"/>
              </w:rPr>
              <w:t>大洲</w:t>
            </w:r>
            <w:r>
              <w:rPr>
                <w:rFonts w:ascii="宋体" w:hAnsi="宋体" w:cs="宋体" w:hint="eastAsia"/>
                <w:color w:val="000000"/>
                <w:kern w:val="0"/>
                <w:sz w:val="20"/>
                <w:szCs w:val="20"/>
              </w:rPr>
              <w:t>175</w:t>
            </w:r>
            <w:r>
              <w:rPr>
                <w:rFonts w:ascii="宋体" w:hAnsi="宋体" w:cs="宋体" w:hint="eastAsia"/>
                <w:color w:val="000000"/>
                <w:kern w:val="0"/>
                <w:sz w:val="20"/>
                <w:szCs w:val="20"/>
              </w:rPr>
              <w:t>国家的</w:t>
            </w:r>
            <w:r>
              <w:rPr>
                <w:rFonts w:ascii="宋体" w:hAnsi="宋体" w:cs="宋体" w:hint="eastAsia"/>
                <w:color w:val="000000"/>
                <w:kern w:val="0"/>
                <w:sz w:val="20"/>
                <w:szCs w:val="20"/>
              </w:rPr>
              <w:t>1.4</w:t>
            </w:r>
            <w:r>
              <w:rPr>
                <w:rFonts w:ascii="宋体" w:hAnsi="宋体" w:cs="宋体" w:hint="eastAsia"/>
                <w:color w:val="000000"/>
                <w:kern w:val="0"/>
                <w:sz w:val="20"/>
                <w:szCs w:val="20"/>
              </w:rPr>
              <w:t>亿网友。流媒体宣传报道约</w:t>
            </w:r>
            <w:r>
              <w:rPr>
                <w:rFonts w:ascii="宋体" w:hAnsi="宋体" w:cs="宋体" w:hint="eastAsia"/>
                <w:color w:val="000000"/>
                <w:kern w:val="0"/>
                <w:sz w:val="20"/>
                <w:szCs w:val="20"/>
              </w:rPr>
              <w:t>7000</w:t>
            </w:r>
            <w:r>
              <w:rPr>
                <w:rFonts w:ascii="宋体" w:hAnsi="宋体" w:cs="宋体" w:hint="eastAsia"/>
                <w:color w:val="000000"/>
                <w:kern w:val="0"/>
                <w:sz w:val="20"/>
                <w:szCs w:val="20"/>
              </w:rPr>
              <w:t>条次，对重点项目报道约</w:t>
            </w:r>
            <w:r>
              <w:rPr>
                <w:rFonts w:ascii="宋体" w:hAnsi="宋体" w:cs="宋体" w:hint="eastAsia"/>
                <w:color w:val="000000"/>
                <w:kern w:val="0"/>
                <w:sz w:val="20"/>
                <w:szCs w:val="20"/>
              </w:rPr>
              <w:t>3200</w:t>
            </w:r>
            <w:r>
              <w:rPr>
                <w:rFonts w:ascii="宋体" w:hAnsi="宋体" w:cs="宋体" w:hint="eastAsia"/>
                <w:color w:val="000000"/>
                <w:kern w:val="0"/>
                <w:sz w:val="20"/>
                <w:szCs w:val="20"/>
              </w:rPr>
              <w:t>余条次。中文自媒体矩阵粉丝量超</w:t>
            </w:r>
            <w:r>
              <w:rPr>
                <w:rFonts w:ascii="宋体" w:hAnsi="宋体" w:cs="宋体" w:hint="eastAsia"/>
                <w:color w:val="000000"/>
                <w:kern w:val="0"/>
                <w:sz w:val="20"/>
                <w:szCs w:val="20"/>
              </w:rPr>
              <w:t>1400</w:t>
            </w:r>
            <w:r>
              <w:rPr>
                <w:rFonts w:ascii="宋体" w:hAnsi="宋体" w:cs="宋体" w:hint="eastAsia"/>
                <w:color w:val="000000"/>
                <w:kern w:val="0"/>
                <w:sz w:val="20"/>
                <w:szCs w:val="20"/>
              </w:rPr>
              <w:t>万。</w:t>
            </w:r>
          </w:p>
        </w:tc>
        <w:tc>
          <w:tcPr>
            <w:tcW w:w="837"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4.6</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完成计划工作的</w:t>
            </w:r>
            <w:r>
              <w:rPr>
                <w:rFonts w:ascii="宋体" w:hAnsi="宋体" w:cs="宋体" w:hint="eastAsia"/>
                <w:color w:val="000000"/>
                <w:kern w:val="0"/>
                <w:sz w:val="20"/>
                <w:szCs w:val="20"/>
                <w:lang/>
              </w:rPr>
              <w:t>90%</w:t>
            </w:r>
            <w:r>
              <w:rPr>
                <w:rFonts w:ascii="宋体" w:hAnsi="宋体" w:cs="宋体" w:hint="eastAsia"/>
                <w:color w:val="000000"/>
                <w:kern w:val="0"/>
                <w:sz w:val="20"/>
                <w:szCs w:val="20"/>
                <w:lang/>
              </w:rPr>
              <w:t>以上，满分；每少完成</w:t>
            </w:r>
            <w:r>
              <w:rPr>
                <w:rFonts w:ascii="宋体" w:hAnsi="宋体" w:cs="宋体" w:hint="eastAsia"/>
                <w:color w:val="000000"/>
                <w:kern w:val="0"/>
                <w:sz w:val="20"/>
                <w:szCs w:val="20"/>
                <w:lang/>
              </w:rPr>
              <w:t>10%</w:t>
            </w:r>
            <w:r>
              <w:rPr>
                <w:rFonts w:ascii="宋体" w:hAnsi="宋体" w:cs="宋体" w:hint="eastAsia"/>
                <w:color w:val="000000"/>
                <w:kern w:val="0"/>
                <w:sz w:val="20"/>
                <w:szCs w:val="20"/>
                <w:lang/>
              </w:rPr>
              <w:t>的工作量或每有一处未充分实现扣</w:t>
            </w:r>
            <w:r>
              <w:rPr>
                <w:rFonts w:ascii="宋体" w:hAnsi="宋体" w:cs="宋体" w:hint="eastAsia"/>
                <w:color w:val="000000"/>
                <w:kern w:val="0"/>
                <w:sz w:val="20"/>
                <w:szCs w:val="20"/>
                <w:lang/>
              </w:rPr>
              <w:t>0.2</w:t>
            </w:r>
            <w:r>
              <w:rPr>
                <w:rFonts w:ascii="宋体" w:hAnsi="宋体" w:cs="宋体" w:hint="eastAsia"/>
                <w:color w:val="000000"/>
                <w:kern w:val="0"/>
                <w:sz w:val="20"/>
                <w:szCs w:val="20"/>
                <w:lang/>
              </w:rPr>
              <w:t>分，扣完为止。</w:t>
            </w:r>
          </w:p>
        </w:tc>
      </w:tr>
      <w:tr w:rsidR="00ED25C8">
        <w:trPr>
          <w:trHeight w:val="630"/>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效益指标社会效益指标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演出运营：通过经典作品的展现</w:t>
            </w:r>
            <w:r>
              <w:rPr>
                <w:rFonts w:ascii="宋体" w:hAnsi="宋体" w:cs="宋体" w:hint="eastAsia"/>
                <w:color w:val="000000"/>
                <w:kern w:val="0"/>
                <w:sz w:val="20"/>
                <w:szCs w:val="20"/>
              </w:rPr>
              <w:t>,</w:t>
            </w:r>
            <w:r>
              <w:rPr>
                <w:rFonts w:ascii="宋体" w:hAnsi="宋体" w:cs="宋体" w:hint="eastAsia"/>
                <w:color w:val="000000"/>
                <w:kern w:val="0"/>
                <w:sz w:val="20"/>
                <w:szCs w:val="20"/>
              </w:rPr>
              <w:t>扩大高雅艺术的传播人群</w:t>
            </w:r>
            <w:r>
              <w:rPr>
                <w:rFonts w:ascii="宋体" w:hAnsi="宋体" w:cs="宋体" w:hint="eastAsia"/>
                <w:color w:val="000000"/>
                <w:kern w:val="0"/>
                <w:sz w:val="20"/>
                <w:szCs w:val="20"/>
              </w:rPr>
              <w:t>,</w:t>
            </w:r>
            <w:r>
              <w:rPr>
                <w:rFonts w:ascii="宋体" w:hAnsi="宋体" w:cs="宋体" w:hint="eastAsia"/>
                <w:color w:val="000000"/>
                <w:kern w:val="0"/>
                <w:sz w:val="20"/>
                <w:szCs w:val="20"/>
              </w:rPr>
              <w:t>使观众走近高雅艺术，了解高雅艺术、喜爱高雅艺术。</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我们坚持艺</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术普及教育的融合创新“周末音乐会”“经典艺术讲堂”“走</w:t>
            </w: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进唱片里的世界”“百场公益演出”“台湖星期音乐会”等公益品牌不断迭代升级，向全社会传递着“人人可以接触艺术，处处可以获得艺术，时时可以享受艺术”的理念。</w:t>
            </w:r>
            <w:r>
              <w:rPr>
                <w:rFonts w:ascii="宋体" w:hAnsi="宋体" w:cs="宋体" w:hint="eastAsia"/>
                <w:color w:val="000000"/>
                <w:kern w:val="0"/>
                <w:sz w:val="20"/>
              </w:rPr>
              <w:t>39</w:t>
            </w:r>
            <w:r>
              <w:rPr>
                <w:rFonts w:ascii="宋体" w:hAnsi="宋体" w:cs="宋体" w:hint="eastAsia"/>
                <w:color w:val="000000"/>
                <w:kern w:val="0"/>
                <w:sz w:val="20"/>
              </w:rPr>
              <w:t>场主题艺术展览贯穿全年，囊括非遗文化、刻板印刷、中国戏</w:t>
            </w:r>
            <w:r>
              <w:rPr>
                <w:rFonts w:ascii="宋体" w:hAnsi="宋体" w:cs="宋体" w:hint="eastAsia"/>
                <w:color w:val="000000"/>
                <w:kern w:val="0"/>
                <w:sz w:val="20"/>
              </w:rPr>
              <w:t xml:space="preserve"> </w:t>
            </w:r>
            <w:r>
              <w:rPr>
                <w:rFonts w:ascii="宋体" w:hAnsi="宋体" w:cs="宋体" w:hint="eastAsia"/>
                <w:color w:val="000000"/>
                <w:kern w:val="0"/>
                <w:sz w:val="20"/>
              </w:rPr>
              <w:t>曲、数字艺术、民族器乐、西方绘画、舞台美术等不同风格、不</w:t>
            </w:r>
            <w:r>
              <w:rPr>
                <w:rFonts w:ascii="宋体" w:hAnsi="宋体" w:cs="宋体" w:hint="eastAsia"/>
                <w:color w:val="000000"/>
                <w:kern w:val="0"/>
                <w:sz w:val="20"/>
              </w:rPr>
              <w:t xml:space="preserve"> </w:t>
            </w:r>
            <w:r>
              <w:rPr>
                <w:rFonts w:ascii="宋体" w:hAnsi="宋体" w:cs="宋体" w:hint="eastAsia"/>
                <w:color w:val="000000"/>
                <w:kern w:val="0"/>
                <w:sz w:val="20"/>
              </w:rPr>
              <w:t>同形式的艺术之美，观众满意度超过</w:t>
            </w:r>
            <w:r>
              <w:rPr>
                <w:rFonts w:ascii="宋体" w:hAnsi="宋体" w:cs="宋体" w:hint="eastAsia"/>
                <w:color w:val="000000"/>
                <w:kern w:val="0"/>
                <w:sz w:val="20"/>
              </w:rPr>
              <w:t>90%</w:t>
            </w:r>
            <w:r>
              <w:rPr>
                <w:rFonts w:ascii="宋体" w:hAnsi="宋体" w:cs="宋体" w:hint="eastAsia"/>
                <w:color w:val="000000"/>
                <w:kern w:val="0"/>
                <w:sz w:val="20"/>
              </w:rPr>
              <w:t>。精心策划“京韵·婺</w:t>
            </w:r>
            <w:r>
              <w:rPr>
                <w:rFonts w:ascii="宋体" w:hAnsi="宋体" w:cs="宋体" w:hint="eastAsia"/>
                <w:color w:val="000000"/>
                <w:kern w:val="0"/>
                <w:sz w:val="20"/>
              </w:rPr>
              <w:t xml:space="preserve">  </w:t>
            </w:r>
            <w:r>
              <w:rPr>
                <w:rFonts w:ascii="宋体" w:hAnsi="宋体" w:cs="宋体" w:hint="eastAsia"/>
                <w:color w:val="000000"/>
                <w:kern w:val="0"/>
                <w:sz w:val="20"/>
              </w:rPr>
              <w:t>风——非</w:t>
            </w:r>
            <w:r>
              <w:rPr>
                <w:rFonts w:ascii="宋体" w:hAnsi="宋体" w:cs="宋体" w:hint="eastAsia"/>
                <w:color w:val="000000"/>
                <w:kern w:val="0"/>
                <w:sz w:val="20"/>
              </w:rPr>
              <w:t>物质文化遗产南北交流展”“荣宝斋</w:t>
            </w:r>
            <w:r>
              <w:rPr>
                <w:rFonts w:ascii="宋体" w:hAnsi="宋体" w:cs="宋体" w:hint="eastAsia"/>
                <w:color w:val="000000"/>
                <w:kern w:val="0"/>
                <w:sz w:val="20"/>
              </w:rPr>
              <w:t>350</w:t>
            </w:r>
            <w:r>
              <w:rPr>
                <w:rFonts w:ascii="宋体" w:hAnsi="宋体" w:cs="宋体" w:hint="eastAsia"/>
                <w:color w:val="000000"/>
                <w:kern w:val="0"/>
                <w:sz w:val="20"/>
              </w:rPr>
              <w:t>周年木板水印</w:t>
            </w:r>
            <w:r>
              <w:rPr>
                <w:rFonts w:ascii="宋体" w:hAnsi="宋体" w:cs="宋体" w:hint="eastAsia"/>
                <w:color w:val="000000"/>
                <w:kern w:val="0"/>
                <w:sz w:val="20"/>
              </w:rPr>
              <w:t xml:space="preserve"> </w:t>
            </w:r>
            <w:r>
              <w:rPr>
                <w:rFonts w:ascii="宋体" w:hAnsi="宋体" w:cs="宋体" w:hint="eastAsia"/>
                <w:color w:val="000000"/>
                <w:kern w:val="0"/>
                <w:sz w:val="20"/>
              </w:rPr>
              <w:t>当代艺术主</w:t>
            </w:r>
            <w:r>
              <w:rPr>
                <w:rFonts w:ascii="宋体" w:hAnsi="宋体" w:cs="宋体" w:hint="eastAsia"/>
                <w:color w:val="000000"/>
                <w:kern w:val="0"/>
                <w:sz w:val="20"/>
              </w:rPr>
              <w:lastRenderedPageBreak/>
              <w:t>题展”“国粹丹青——北京中轴线梨园文化专题美术</w:t>
            </w:r>
            <w:r>
              <w:rPr>
                <w:rFonts w:ascii="宋体" w:hAnsi="宋体" w:cs="宋体" w:hint="eastAsia"/>
                <w:color w:val="000000"/>
                <w:kern w:val="0"/>
                <w:sz w:val="20"/>
              </w:rPr>
              <w:t xml:space="preserve"> </w:t>
            </w:r>
            <w:r>
              <w:rPr>
                <w:rFonts w:ascii="宋体" w:hAnsi="宋体" w:cs="宋体" w:hint="eastAsia"/>
                <w:color w:val="000000"/>
                <w:kern w:val="0"/>
                <w:sz w:val="20"/>
              </w:rPr>
              <w:t>展”等，由表及里展现中华传统文化魅力。推出“时代的容颜—</w:t>
            </w:r>
            <w:r>
              <w:rPr>
                <w:rFonts w:ascii="宋体" w:hAnsi="宋体" w:cs="宋体" w:hint="eastAsia"/>
                <w:color w:val="000000"/>
                <w:kern w:val="0"/>
                <w:sz w:val="20"/>
              </w:rPr>
              <w:t xml:space="preserve"> </w:t>
            </w:r>
            <w:r>
              <w:rPr>
                <w:rFonts w:ascii="宋体" w:hAnsi="宋体" w:cs="宋体" w:hint="eastAsia"/>
                <w:color w:val="000000"/>
                <w:kern w:val="0"/>
                <w:sz w:val="20"/>
              </w:rPr>
              <w:t>一东京富士美术馆藏西方人物绘画精品展”“宽阔的现实主义：</w:t>
            </w:r>
            <w:r>
              <w:rPr>
                <w:rFonts w:ascii="宋体" w:hAnsi="宋体" w:cs="宋体" w:hint="eastAsia"/>
                <w:color w:val="000000"/>
                <w:kern w:val="0"/>
                <w:sz w:val="20"/>
              </w:rPr>
              <w:t xml:space="preserve">  </w:t>
            </w:r>
            <w:r>
              <w:rPr>
                <w:rFonts w:ascii="宋体" w:hAnsi="宋体" w:cs="宋体" w:hint="eastAsia"/>
                <w:color w:val="000000"/>
                <w:kern w:val="0"/>
                <w:sz w:val="20"/>
              </w:rPr>
              <w:t>中国与西班牙当代油画展”“蒸汽时代的回响——维多利亚时期</w:t>
            </w:r>
            <w:r>
              <w:rPr>
                <w:rFonts w:ascii="宋体" w:hAnsi="宋体" w:cs="宋体" w:hint="eastAsia"/>
                <w:color w:val="000000"/>
                <w:kern w:val="0"/>
                <w:sz w:val="20"/>
              </w:rPr>
              <w:t xml:space="preserve"> </w:t>
            </w:r>
            <w:r>
              <w:rPr>
                <w:rFonts w:ascii="宋体" w:hAnsi="宋体" w:cs="宋体" w:hint="eastAsia"/>
                <w:color w:val="000000"/>
                <w:kern w:val="0"/>
                <w:sz w:val="20"/>
              </w:rPr>
              <w:t>的艺术”等特展，运用多维视角传递视觉艺术独特的审美价值。</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5</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4.6</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完成计划工作的</w:t>
            </w:r>
            <w:r>
              <w:rPr>
                <w:rFonts w:ascii="宋体" w:hAnsi="宋体" w:cs="宋体" w:hint="eastAsia"/>
                <w:color w:val="000000"/>
                <w:kern w:val="0"/>
                <w:sz w:val="20"/>
                <w:szCs w:val="20"/>
                <w:lang/>
              </w:rPr>
              <w:t>90%</w:t>
            </w:r>
            <w:r>
              <w:rPr>
                <w:rFonts w:ascii="宋体" w:hAnsi="宋体" w:cs="宋体" w:hint="eastAsia"/>
                <w:color w:val="000000"/>
                <w:kern w:val="0"/>
                <w:sz w:val="20"/>
                <w:szCs w:val="20"/>
                <w:lang/>
              </w:rPr>
              <w:t>以上，满分；每少完成</w:t>
            </w:r>
            <w:r>
              <w:rPr>
                <w:rFonts w:ascii="宋体" w:hAnsi="宋体" w:cs="宋体" w:hint="eastAsia"/>
                <w:color w:val="000000"/>
                <w:kern w:val="0"/>
                <w:sz w:val="20"/>
                <w:szCs w:val="20"/>
                <w:lang/>
              </w:rPr>
              <w:t>10%</w:t>
            </w:r>
            <w:r>
              <w:rPr>
                <w:rFonts w:ascii="宋体" w:hAnsi="宋体" w:cs="宋体" w:hint="eastAsia"/>
                <w:color w:val="000000"/>
                <w:kern w:val="0"/>
                <w:sz w:val="20"/>
                <w:szCs w:val="20"/>
                <w:lang/>
              </w:rPr>
              <w:t>的工作量或每有一处未充分实现扣</w:t>
            </w:r>
            <w:r>
              <w:rPr>
                <w:rFonts w:ascii="宋体" w:hAnsi="宋体" w:cs="宋体" w:hint="eastAsia"/>
                <w:color w:val="000000"/>
                <w:kern w:val="0"/>
                <w:sz w:val="20"/>
                <w:szCs w:val="20"/>
                <w:lang/>
              </w:rPr>
              <w:t>0.2</w:t>
            </w:r>
            <w:r>
              <w:rPr>
                <w:rFonts w:ascii="宋体" w:hAnsi="宋体" w:cs="宋体" w:hint="eastAsia"/>
                <w:color w:val="000000"/>
                <w:kern w:val="0"/>
                <w:sz w:val="20"/>
                <w:szCs w:val="20"/>
                <w:lang/>
              </w:rPr>
              <w:t>分，扣完为止。</w:t>
            </w:r>
          </w:p>
        </w:tc>
      </w:tr>
      <w:tr w:rsidR="00ED25C8">
        <w:trPr>
          <w:trHeight w:val="630"/>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效益指标生态效益指标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工程物业管理：强化环保管理，节能降耗，通过科学的升级改造，逐年提高节能环保产品的使用比例，减少能耗和污染</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rPr>
                <w:rFonts w:ascii="宋体" w:hAnsi="宋体" w:cs="宋体"/>
                <w:color w:val="000000"/>
                <w:kern w:val="0"/>
                <w:sz w:val="20"/>
                <w:szCs w:val="20"/>
              </w:rPr>
            </w:pPr>
            <w:r>
              <w:rPr>
                <w:rFonts w:ascii="宋体" w:hAnsi="宋体" w:cs="宋体" w:hint="eastAsia"/>
                <w:color w:val="000000"/>
                <w:kern w:val="0"/>
                <w:sz w:val="20"/>
                <w:szCs w:val="20"/>
              </w:rPr>
              <w:t>我院认真贯彻落实国家双碳政策，剧院本部和台湖舞美中心用能统筹协调管理，节能降耗，多措并举，节能管理成效显著。在保证系统稳定运行的前提下，抓好节能降耗工作。采用精细化管理手段，严控空调设备启停时间，满足防控要求并做到节能降耗。</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4.6</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完成计划工作的</w:t>
            </w:r>
            <w:r>
              <w:rPr>
                <w:rFonts w:ascii="宋体" w:hAnsi="宋体" w:cs="宋体" w:hint="eastAsia"/>
                <w:color w:val="000000"/>
                <w:kern w:val="0"/>
                <w:sz w:val="20"/>
                <w:szCs w:val="20"/>
                <w:lang/>
              </w:rPr>
              <w:t>90%</w:t>
            </w:r>
            <w:r>
              <w:rPr>
                <w:rFonts w:ascii="宋体" w:hAnsi="宋体" w:cs="宋体" w:hint="eastAsia"/>
                <w:color w:val="000000"/>
                <w:kern w:val="0"/>
                <w:sz w:val="20"/>
                <w:szCs w:val="20"/>
                <w:lang/>
              </w:rPr>
              <w:t>以上，满分；每少完成</w:t>
            </w:r>
            <w:r>
              <w:rPr>
                <w:rFonts w:ascii="宋体" w:hAnsi="宋体" w:cs="宋体" w:hint="eastAsia"/>
                <w:color w:val="000000"/>
                <w:kern w:val="0"/>
                <w:sz w:val="20"/>
                <w:szCs w:val="20"/>
                <w:lang/>
              </w:rPr>
              <w:t>10%</w:t>
            </w:r>
            <w:r>
              <w:rPr>
                <w:rFonts w:ascii="宋体" w:hAnsi="宋体" w:cs="宋体" w:hint="eastAsia"/>
                <w:color w:val="000000"/>
                <w:kern w:val="0"/>
                <w:sz w:val="20"/>
                <w:szCs w:val="20"/>
                <w:lang/>
              </w:rPr>
              <w:t>的工作量或每有一处未充分实现扣</w:t>
            </w:r>
            <w:r>
              <w:rPr>
                <w:rFonts w:ascii="宋体" w:hAnsi="宋体" w:cs="宋体" w:hint="eastAsia"/>
                <w:color w:val="000000"/>
                <w:kern w:val="0"/>
                <w:sz w:val="20"/>
                <w:szCs w:val="20"/>
                <w:lang/>
              </w:rPr>
              <w:t>0.2</w:t>
            </w:r>
            <w:r>
              <w:rPr>
                <w:rFonts w:ascii="宋体" w:hAnsi="宋体" w:cs="宋体" w:hint="eastAsia"/>
                <w:color w:val="000000"/>
                <w:kern w:val="0"/>
                <w:sz w:val="20"/>
                <w:szCs w:val="20"/>
                <w:lang/>
              </w:rPr>
              <w:t>分，扣完为止。</w:t>
            </w:r>
          </w:p>
        </w:tc>
      </w:tr>
      <w:tr w:rsidR="00ED25C8">
        <w:trPr>
          <w:trHeight w:val="675"/>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效益指标可持续影响指标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Style w:val="font11"/>
                <w:rFonts w:hint="default"/>
                <w:sz w:val="20"/>
                <w:szCs w:val="20"/>
                <w:lang/>
              </w:rPr>
              <w:t>艺术教育交流：加强国际艺术交流，将</w:t>
            </w:r>
            <w:r>
              <w:rPr>
                <w:rStyle w:val="font11"/>
                <w:rFonts w:hint="default"/>
                <w:sz w:val="20"/>
                <w:szCs w:val="20"/>
                <w:lang/>
              </w:rPr>
              <w:t>“</w:t>
            </w:r>
            <w:r>
              <w:rPr>
                <w:rStyle w:val="font11"/>
                <w:rFonts w:hint="default"/>
                <w:sz w:val="20"/>
                <w:szCs w:val="20"/>
                <w:lang/>
              </w:rPr>
              <w:t>走出去</w:t>
            </w:r>
            <w:r>
              <w:rPr>
                <w:rStyle w:val="font11"/>
                <w:rFonts w:hint="default"/>
                <w:sz w:val="20"/>
                <w:szCs w:val="20"/>
                <w:lang/>
              </w:rPr>
              <w:t>”</w:t>
            </w:r>
            <w:r>
              <w:rPr>
                <w:rStyle w:val="font11"/>
                <w:rFonts w:hint="default"/>
                <w:sz w:val="20"/>
                <w:szCs w:val="20"/>
                <w:lang/>
              </w:rPr>
              <w:t>与</w:t>
            </w:r>
            <w:r>
              <w:rPr>
                <w:rStyle w:val="font11"/>
                <w:rFonts w:hint="default"/>
                <w:sz w:val="20"/>
                <w:szCs w:val="20"/>
                <w:lang/>
              </w:rPr>
              <w:t>“</w:t>
            </w:r>
            <w:r>
              <w:rPr>
                <w:rStyle w:val="font11"/>
                <w:rFonts w:hint="default"/>
                <w:sz w:val="20"/>
                <w:szCs w:val="20"/>
                <w:lang/>
              </w:rPr>
              <w:t>引进来</w:t>
            </w:r>
            <w:r>
              <w:rPr>
                <w:rStyle w:val="font11"/>
                <w:rFonts w:hint="default"/>
                <w:sz w:val="20"/>
                <w:szCs w:val="20"/>
                <w:lang/>
              </w:rPr>
              <w:t>”</w:t>
            </w:r>
            <w:r>
              <w:rPr>
                <w:rStyle w:val="font11"/>
                <w:rFonts w:hint="default"/>
                <w:sz w:val="20"/>
                <w:szCs w:val="20"/>
                <w:lang/>
              </w:rPr>
              <w:t>相</w:t>
            </w:r>
            <w:r>
              <w:rPr>
                <w:rStyle w:val="font11"/>
                <w:rFonts w:hint="default"/>
                <w:sz w:val="20"/>
                <w:szCs w:val="20"/>
                <w:lang/>
              </w:rPr>
              <w:lastRenderedPageBreak/>
              <w:t>结合，扩大中国艺术的国际影响，传播中国优秀文化，为外交活动开展搭建平台</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rPr>
                <w:rFonts w:ascii="宋体" w:hAnsi="宋体" w:cs="宋体"/>
                <w:color w:val="000000"/>
                <w:kern w:val="0"/>
                <w:sz w:val="20"/>
                <w:szCs w:val="20"/>
              </w:rPr>
            </w:pPr>
            <w:r>
              <w:rPr>
                <w:rFonts w:ascii="宋体" w:hAnsi="宋体" w:cs="宋体" w:hint="eastAsia"/>
                <w:color w:val="000000"/>
                <w:sz w:val="20"/>
                <w:szCs w:val="20"/>
              </w:rPr>
              <w:lastRenderedPageBreak/>
              <w:t>圆满举办世界交响乐北京论坛、台湖舞美国际论坛，形成系列合作成果，达成行业重要共识，得到了中</w:t>
            </w:r>
            <w:r>
              <w:rPr>
                <w:rFonts w:ascii="宋体" w:hAnsi="宋体" w:cs="宋体" w:hint="eastAsia"/>
                <w:color w:val="000000"/>
                <w:sz w:val="20"/>
                <w:szCs w:val="20"/>
              </w:rPr>
              <w:lastRenderedPageBreak/>
              <w:t>央、北京市的有力指导和全球同行的</w:t>
            </w:r>
            <w:r>
              <w:rPr>
                <w:rFonts w:ascii="宋体" w:hAnsi="宋体" w:cs="宋体" w:hint="eastAsia"/>
                <w:color w:val="000000"/>
                <w:sz w:val="20"/>
                <w:szCs w:val="20"/>
              </w:rPr>
              <w:t xml:space="preserve"> </w:t>
            </w:r>
            <w:r>
              <w:rPr>
                <w:rFonts w:ascii="宋体" w:hAnsi="宋体" w:cs="宋体" w:hint="eastAsia"/>
                <w:color w:val="000000"/>
                <w:sz w:val="20"/>
                <w:szCs w:val="20"/>
              </w:rPr>
              <w:t>高度赞誉，推动了人类命运共同体理念在表演艺术领域落地生根。长期与各国驻华使馆保持友好往来，高规格接待俄罗斯、法国、阿塞拜疆、古巴、德国等多国政要，以及朝鲜、土耳其、乌兹别</w:t>
            </w:r>
            <w:r>
              <w:rPr>
                <w:rFonts w:ascii="宋体" w:hAnsi="宋体" w:cs="宋体" w:hint="eastAsia"/>
                <w:color w:val="000000"/>
                <w:sz w:val="20"/>
                <w:szCs w:val="20"/>
              </w:rPr>
              <w:t xml:space="preserve"> </w:t>
            </w:r>
            <w:r>
              <w:rPr>
                <w:rFonts w:ascii="宋体" w:hAnsi="宋体" w:cs="宋体" w:hint="eastAsia"/>
                <w:color w:val="000000"/>
                <w:sz w:val="20"/>
                <w:szCs w:val="20"/>
              </w:rPr>
              <w:t>克斯坦等</w:t>
            </w:r>
            <w:r>
              <w:rPr>
                <w:rFonts w:ascii="宋体" w:hAnsi="宋体" w:cs="宋体" w:hint="eastAsia"/>
                <w:color w:val="000000"/>
                <w:sz w:val="20"/>
                <w:szCs w:val="20"/>
              </w:rPr>
              <w:t>20</w:t>
            </w:r>
            <w:r>
              <w:rPr>
                <w:rFonts w:ascii="宋体" w:hAnsi="宋体" w:cs="宋体" w:hint="eastAsia"/>
                <w:color w:val="000000"/>
                <w:sz w:val="20"/>
                <w:szCs w:val="20"/>
              </w:rPr>
              <w:t>国驻华使节到访交流。高水平服务大国外交，不断扩大文化交流版图。</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5</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4.6</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完成计划工作的</w:t>
            </w:r>
            <w:r>
              <w:rPr>
                <w:rFonts w:ascii="宋体" w:hAnsi="宋体" w:cs="宋体" w:hint="eastAsia"/>
                <w:color w:val="000000"/>
                <w:kern w:val="0"/>
                <w:sz w:val="20"/>
                <w:szCs w:val="20"/>
                <w:lang/>
              </w:rPr>
              <w:t>90%</w:t>
            </w:r>
            <w:r>
              <w:rPr>
                <w:rFonts w:ascii="宋体" w:hAnsi="宋体" w:cs="宋体" w:hint="eastAsia"/>
                <w:color w:val="000000"/>
                <w:kern w:val="0"/>
                <w:sz w:val="20"/>
                <w:szCs w:val="20"/>
                <w:lang/>
              </w:rPr>
              <w:t>以上，满分；每少完成</w:t>
            </w:r>
            <w:r>
              <w:rPr>
                <w:rFonts w:ascii="宋体" w:hAnsi="宋体" w:cs="宋体" w:hint="eastAsia"/>
                <w:color w:val="000000"/>
                <w:kern w:val="0"/>
                <w:sz w:val="20"/>
                <w:szCs w:val="20"/>
                <w:lang/>
              </w:rPr>
              <w:t>10%</w:t>
            </w:r>
            <w:r>
              <w:rPr>
                <w:rFonts w:ascii="宋体" w:hAnsi="宋体" w:cs="宋体" w:hint="eastAsia"/>
                <w:color w:val="000000"/>
                <w:kern w:val="0"/>
                <w:sz w:val="20"/>
                <w:szCs w:val="20"/>
                <w:lang/>
              </w:rPr>
              <w:t>的工作量或每有一处未充分实现扣</w:t>
            </w:r>
            <w:r>
              <w:rPr>
                <w:rFonts w:ascii="宋体" w:hAnsi="宋体" w:cs="宋体" w:hint="eastAsia"/>
                <w:color w:val="000000"/>
                <w:kern w:val="0"/>
                <w:sz w:val="20"/>
                <w:szCs w:val="20"/>
                <w:lang/>
              </w:rPr>
              <w:t>0.2</w:t>
            </w:r>
            <w:r>
              <w:rPr>
                <w:rFonts w:ascii="宋体" w:hAnsi="宋体" w:cs="宋体" w:hint="eastAsia"/>
                <w:color w:val="000000"/>
                <w:kern w:val="0"/>
                <w:sz w:val="20"/>
                <w:szCs w:val="20"/>
                <w:lang/>
              </w:rPr>
              <w:t>分，扣完为</w:t>
            </w:r>
            <w:r>
              <w:rPr>
                <w:rFonts w:ascii="宋体" w:hAnsi="宋体" w:cs="宋体" w:hint="eastAsia"/>
                <w:color w:val="000000"/>
                <w:kern w:val="0"/>
                <w:sz w:val="20"/>
                <w:szCs w:val="20"/>
                <w:lang/>
              </w:rPr>
              <w:lastRenderedPageBreak/>
              <w:t>止。</w:t>
            </w:r>
          </w:p>
        </w:tc>
      </w:tr>
      <w:tr w:rsidR="00ED25C8">
        <w:trPr>
          <w:trHeight w:val="675"/>
        </w:trPr>
        <w:tc>
          <w:tcPr>
            <w:tcW w:w="1043" w:type="dxa"/>
            <w:vMerge w:val="restart"/>
            <w:tcBorders>
              <w:top w:val="single" w:sz="4" w:space="0" w:color="auto"/>
              <w:left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满意度指标服务对象满意度指标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t>艺术教育交流：观众对艺术教育活动满意度</w:t>
            </w:r>
            <w:r>
              <w:rPr>
                <w:rStyle w:val="font11"/>
                <w:rFonts w:hint="default"/>
                <w:sz w:val="20"/>
                <w:szCs w:val="20"/>
                <w:lang/>
              </w:rPr>
              <w:t>≥90%</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t>2023</w:t>
            </w:r>
            <w:r>
              <w:rPr>
                <w:rStyle w:val="font11"/>
                <w:rFonts w:hint="default"/>
                <w:sz w:val="20"/>
                <w:szCs w:val="20"/>
                <w:lang/>
              </w:rPr>
              <w:t>年，艺术普及教育部全年</w:t>
            </w:r>
            <w:r>
              <w:rPr>
                <w:rStyle w:val="font11"/>
                <w:rFonts w:hint="default"/>
                <w:sz w:val="20"/>
                <w:szCs w:val="20"/>
                <w:lang/>
              </w:rPr>
              <w:t>9</w:t>
            </w:r>
            <w:r>
              <w:rPr>
                <w:rStyle w:val="font11"/>
                <w:rFonts w:hint="default"/>
                <w:sz w:val="20"/>
                <w:szCs w:val="20"/>
                <w:lang/>
              </w:rPr>
              <w:t>大品牌项目持续、稳定开展多元化艺术教育活动；全年共计完成线下线上艺术教育</w:t>
            </w:r>
            <w:r>
              <w:rPr>
                <w:rStyle w:val="font11"/>
                <w:rFonts w:hint="default"/>
                <w:sz w:val="20"/>
                <w:szCs w:val="20"/>
                <w:lang/>
              </w:rPr>
              <w:t>747</w:t>
            </w:r>
            <w:r>
              <w:rPr>
                <w:rStyle w:val="font11"/>
                <w:rFonts w:hint="default"/>
                <w:sz w:val="20"/>
                <w:szCs w:val="20"/>
                <w:lang/>
              </w:rPr>
              <w:t>场，惠及人群超</w:t>
            </w:r>
            <w:r>
              <w:rPr>
                <w:rStyle w:val="font11"/>
                <w:rFonts w:hint="default"/>
                <w:sz w:val="20"/>
                <w:szCs w:val="20"/>
                <w:lang/>
              </w:rPr>
              <w:t>21</w:t>
            </w:r>
            <w:r>
              <w:rPr>
                <w:rStyle w:val="font11"/>
                <w:rFonts w:hint="default"/>
                <w:sz w:val="20"/>
                <w:szCs w:val="20"/>
                <w:lang/>
              </w:rPr>
              <w:t>万人次；为</w:t>
            </w:r>
            <w:r>
              <w:rPr>
                <w:rStyle w:val="font11"/>
                <w:rFonts w:hint="default"/>
                <w:sz w:val="20"/>
                <w:szCs w:val="20"/>
                <w:lang/>
              </w:rPr>
              <w:t>180</w:t>
            </w:r>
            <w:r>
              <w:rPr>
                <w:rStyle w:val="font11"/>
                <w:rFonts w:hint="default"/>
                <w:sz w:val="20"/>
                <w:szCs w:val="20"/>
                <w:lang/>
              </w:rPr>
              <w:t>余所学校，</w:t>
            </w:r>
            <w:r>
              <w:rPr>
                <w:rStyle w:val="font11"/>
                <w:rFonts w:hint="default"/>
                <w:sz w:val="20"/>
                <w:szCs w:val="20"/>
                <w:lang/>
              </w:rPr>
              <w:t>6</w:t>
            </w:r>
            <w:r>
              <w:rPr>
                <w:rStyle w:val="font11"/>
                <w:rFonts w:hint="default"/>
                <w:sz w:val="20"/>
                <w:szCs w:val="20"/>
                <w:lang/>
              </w:rPr>
              <w:t>万余人次师生群体提供各种交流、展示、实践的机会；全网报道信息近</w:t>
            </w:r>
            <w:r>
              <w:rPr>
                <w:rStyle w:val="font11"/>
                <w:rFonts w:hint="default"/>
                <w:sz w:val="20"/>
                <w:szCs w:val="20"/>
                <w:lang/>
              </w:rPr>
              <w:t>8000</w:t>
            </w:r>
            <w:r>
              <w:rPr>
                <w:rStyle w:val="font11"/>
                <w:rFonts w:hint="default"/>
                <w:sz w:val="20"/>
                <w:szCs w:val="20"/>
                <w:lang/>
              </w:rPr>
              <w:t>条。反馈较好。</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完成计划工作的</w:t>
            </w:r>
            <w:r>
              <w:rPr>
                <w:rFonts w:ascii="宋体" w:hAnsi="宋体" w:cs="宋体" w:hint="eastAsia"/>
                <w:color w:val="000000"/>
                <w:kern w:val="0"/>
                <w:sz w:val="20"/>
                <w:szCs w:val="20"/>
                <w:lang/>
              </w:rPr>
              <w:t>90%</w:t>
            </w:r>
            <w:r>
              <w:rPr>
                <w:rFonts w:ascii="宋体" w:hAnsi="宋体" w:cs="宋体" w:hint="eastAsia"/>
                <w:color w:val="000000"/>
                <w:kern w:val="0"/>
                <w:sz w:val="20"/>
                <w:szCs w:val="20"/>
                <w:lang/>
              </w:rPr>
              <w:t>以上，满分；每少完成</w:t>
            </w:r>
            <w:r>
              <w:rPr>
                <w:rFonts w:ascii="宋体" w:hAnsi="宋体" w:cs="宋体" w:hint="eastAsia"/>
                <w:color w:val="000000"/>
                <w:kern w:val="0"/>
                <w:sz w:val="20"/>
                <w:szCs w:val="20"/>
                <w:lang/>
              </w:rPr>
              <w:t>10%</w:t>
            </w:r>
            <w:r>
              <w:rPr>
                <w:rFonts w:ascii="宋体" w:hAnsi="宋体" w:cs="宋体" w:hint="eastAsia"/>
                <w:color w:val="000000"/>
                <w:kern w:val="0"/>
                <w:sz w:val="20"/>
                <w:szCs w:val="20"/>
                <w:lang/>
              </w:rPr>
              <w:t>的工作量或每有一处未充分实现扣</w:t>
            </w:r>
            <w:r>
              <w:rPr>
                <w:rFonts w:ascii="宋体" w:hAnsi="宋体" w:cs="宋体" w:hint="eastAsia"/>
                <w:color w:val="000000"/>
                <w:kern w:val="0"/>
                <w:sz w:val="20"/>
                <w:szCs w:val="20"/>
                <w:lang/>
              </w:rPr>
              <w:t>0.2</w:t>
            </w:r>
            <w:r>
              <w:rPr>
                <w:rFonts w:ascii="宋体" w:hAnsi="宋体" w:cs="宋体" w:hint="eastAsia"/>
                <w:color w:val="000000"/>
                <w:kern w:val="0"/>
                <w:sz w:val="20"/>
                <w:szCs w:val="20"/>
                <w:lang/>
              </w:rPr>
              <w:t>分，扣完为止。</w:t>
            </w:r>
          </w:p>
        </w:tc>
      </w:tr>
      <w:tr w:rsidR="00ED25C8">
        <w:trPr>
          <w:trHeight w:val="675"/>
        </w:trPr>
        <w:tc>
          <w:tcPr>
            <w:tcW w:w="1043" w:type="dxa"/>
            <w:vMerge/>
            <w:tcBorders>
              <w:left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满意度指标服务对象满意度指标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t>演出运营：观众对演出满意度</w:t>
            </w:r>
            <w:r>
              <w:rPr>
                <w:rStyle w:val="font11"/>
                <w:rFonts w:hint="default"/>
                <w:sz w:val="20"/>
                <w:szCs w:val="20"/>
                <w:lang/>
              </w:rPr>
              <w:t>≥90%</w:t>
            </w:r>
          </w:p>
        </w:tc>
        <w:tc>
          <w:tcPr>
            <w:tcW w:w="3308" w:type="dxa"/>
            <w:vMerge w:val="restart"/>
            <w:tcBorders>
              <w:top w:val="single" w:sz="4" w:space="0" w:color="auto"/>
              <w:left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t>通过满意度调查工作，在</w:t>
            </w:r>
            <w:r>
              <w:rPr>
                <w:rStyle w:val="font11"/>
                <w:rFonts w:hint="default"/>
                <w:sz w:val="20"/>
                <w:szCs w:val="20"/>
                <w:lang/>
              </w:rPr>
              <w:t>2023</w:t>
            </w:r>
            <w:r>
              <w:rPr>
                <w:rStyle w:val="font11"/>
                <w:rFonts w:hint="default"/>
                <w:sz w:val="20"/>
                <w:szCs w:val="20"/>
                <w:lang/>
              </w:rPr>
              <w:t>年问卷调查中，对大剧院整体评价为满意和非常满意的，满意率达</w:t>
            </w:r>
            <w:r>
              <w:rPr>
                <w:rStyle w:val="font11"/>
                <w:rFonts w:hint="default"/>
                <w:sz w:val="20"/>
                <w:szCs w:val="20"/>
                <w:lang/>
              </w:rPr>
              <w:t>90%</w:t>
            </w:r>
            <w:r>
              <w:rPr>
                <w:rStyle w:val="font11"/>
                <w:rFonts w:hint="default"/>
                <w:sz w:val="20"/>
                <w:szCs w:val="20"/>
                <w:lang/>
              </w:rPr>
              <w:t>以</w:t>
            </w:r>
            <w:r>
              <w:rPr>
                <w:rStyle w:val="font11"/>
                <w:rFonts w:hint="default"/>
                <w:sz w:val="20"/>
                <w:szCs w:val="20"/>
                <w:lang/>
              </w:rPr>
              <w:lastRenderedPageBreak/>
              <w:t>上。</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3</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完成计划工作的</w:t>
            </w:r>
            <w:r>
              <w:rPr>
                <w:rFonts w:ascii="宋体" w:hAnsi="宋体" w:cs="宋体" w:hint="eastAsia"/>
                <w:color w:val="000000"/>
                <w:kern w:val="0"/>
                <w:sz w:val="20"/>
                <w:szCs w:val="20"/>
                <w:lang/>
              </w:rPr>
              <w:t>90%</w:t>
            </w:r>
            <w:r>
              <w:rPr>
                <w:rFonts w:ascii="宋体" w:hAnsi="宋体" w:cs="宋体" w:hint="eastAsia"/>
                <w:color w:val="000000"/>
                <w:kern w:val="0"/>
                <w:sz w:val="20"/>
                <w:szCs w:val="20"/>
                <w:lang/>
              </w:rPr>
              <w:t>以上，满分；每少完成</w:t>
            </w:r>
            <w:r>
              <w:rPr>
                <w:rFonts w:ascii="宋体" w:hAnsi="宋体" w:cs="宋体" w:hint="eastAsia"/>
                <w:color w:val="000000"/>
                <w:kern w:val="0"/>
                <w:sz w:val="20"/>
                <w:szCs w:val="20"/>
                <w:lang/>
              </w:rPr>
              <w:t>10%</w:t>
            </w:r>
            <w:r>
              <w:rPr>
                <w:rFonts w:ascii="宋体" w:hAnsi="宋体" w:cs="宋体" w:hint="eastAsia"/>
                <w:color w:val="000000"/>
                <w:kern w:val="0"/>
                <w:sz w:val="20"/>
                <w:szCs w:val="20"/>
                <w:lang/>
              </w:rPr>
              <w:t>的工作量或每有一处未充分实现扣</w:t>
            </w:r>
            <w:r>
              <w:rPr>
                <w:rFonts w:ascii="宋体" w:hAnsi="宋体" w:cs="宋体" w:hint="eastAsia"/>
                <w:color w:val="000000"/>
                <w:kern w:val="0"/>
                <w:sz w:val="20"/>
                <w:szCs w:val="20"/>
                <w:lang/>
              </w:rPr>
              <w:t>0.2</w:t>
            </w:r>
            <w:r>
              <w:rPr>
                <w:rFonts w:ascii="宋体" w:hAnsi="宋体" w:cs="宋体" w:hint="eastAsia"/>
                <w:color w:val="000000"/>
                <w:kern w:val="0"/>
                <w:sz w:val="20"/>
                <w:szCs w:val="20"/>
                <w:lang/>
              </w:rPr>
              <w:t>分，扣完为</w:t>
            </w:r>
            <w:r>
              <w:rPr>
                <w:rFonts w:ascii="宋体" w:hAnsi="宋体" w:cs="宋体" w:hint="eastAsia"/>
                <w:color w:val="000000"/>
                <w:kern w:val="0"/>
                <w:sz w:val="20"/>
                <w:szCs w:val="20"/>
                <w:lang/>
              </w:rPr>
              <w:lastRenderedPageBreak/>
              <w:t>止。</w:t>
            </w:r>
          </w:p>
        </w:tc>
      </w:tr>
      <w:tr w:rsidR="00ED25C8">
        <w:trPr>
          <w:trHeight w:val="675"/>
        </w:trPr>
        <w:tc>
          <w:tcPr>
            <w:tcW w:w="1043" w:type="dxa"/>
            <w:vMerge/>
            <w:tcBorders>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t>满意度指标服务对象满意度指标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Style w:val="font11"/>
                <w:rFonts w:hint="default"/>
                <w:sz w:val="20"/>
                <w:szCs w:val="20"/>
                <w:lang/>
              </w:rPr>
            </w:pPr>
            <w:r>
              <w:rPr>
                <w:rStyle w:val="font11"/>
                <w:rFonts w:hint="default"/>
                <w:sz w:val="20"/>
                <w:szCs w:val="20"/>
                <w:lang/>
              </w:rPr>
              <w:t>演出运营：观众对剧场服务满意度</w:t>
            </w:r>
            <w:r>
              <w:rPr>
                <w:rStyle w:val="font11"/>
                <w:rFonts w:hint="default"/>
                <w:sz w:val="20"/>
                <w:szCs w:val="20"/>
                <w:lang/>
              </w:rPr>
              <w:t>≥90%</w:t>
            </w:r>
          </w:p>
        </w:tc>
        <w:tc>
          <w:tcPr>
            <w:tcW w:w="3308" w:type="dxa"/>
            <w:vMerge/>
            <w:tcBorders>
              <w:left w:val="single" w:sz="4" w:space="0" w:color="auto"/>
              <w:bottom w:val="single" w:sz="4" w:space="0" w:color="auto"/>
              <w:right w:val="single" w:sz="4" w:space="0" w:color="auto"/>
            </w:tcBorders>
            <w:vAlign w:val="center"/>
          </w:tcPr>
          <w:p w:rsidR="00ED25C8" w:rsidRDefault="00ED25C8">
            <w:pPr>
              <w:widowControl/>
              <w:rPr>
                <w:rFonts w:ascii="宋体" w:hAnsi="宋体" w:cs="宋体"/>
                <w:color w:val="000000"/>
                <w:kern w:val="0"/>
                <w:sz w:val="20"/>
                <w:szCs w:val="20"/>
              </w:rPr>
            </w:pP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lang/>
              </w:rPr>
            </w:pPr>
            <w:r>
              <w:rPr>
                <w:rFonts w:ascii="宋体" w:hAnsi="宋体" w:cs="宋体" w:hint="eastAsia"/>
                <w:color w:val="000000"/>
                <w:kern w:val="0"/>
                <w:sz w:val="20"/>
                <w:szCs w:val="20"/>
                <w:lang/>
              </w:rPr>
              <w:t>完成计划工作的</w:t>
            </w:r>
            <w:r>
              <w:rPr>
                <w:rFonts w:ascii="宋体" w:hAnsi="宋体" w:cs="宋体" w:hint="eastAsia"/>
                <w:color w:val="000000"/>
                <w:kern w:val="0"/>
                <w:sz w:val="20"/>
                <w:szCs w:val="20"/>
                <w:lang/>
              </w:rPr>
              <w:t>90%</w:t>
            </w:r>
            <w:r>
              <w:rPr>
                <w:rFonts w:ascii="宋体" w:hAnsi="宋体" w:cs="宋体" w:hint="eastAsia"/>
                <w:color w:val="000000"/>
                <w:kern w:val="0"/>
                <w:sz w:val="20"/>
                <w:szCs w:val="20"/>
                <w:lang/>
              </w:rPr>
              <w:t>以上，满分；每少完成</w:t>
            </w:r>
            <w:r>
              <w:rPr>
                <w:rFonts w:ascii="宋体" w:hAnsi="宋体" w:cs="宋体" w:hint="eastAsia"/>
                <w:color w:val="000000"/>
                <w:kern w:val="0"/>
                <w:sz w:val="20"/>
                <w:szCs w:val="20"/>
                <w:lang/>
              </w:rPr>
              <w:t>10%</w:t>
            </w:r>
            <w:r>
              <w:rPr>
                <w:rFonts w:ascii="宋体" w:hAnsi="宋体" w:cs="宋体" w:hint="eastAsia"/>
                <w:color w:val="000000"/>
                <w:kern w:val="0"/>
                <w:sz w:val="20"/>
                <w:szCs w:val="20"/>
                <w:lang/>
              </w:rPr>
              <w:t>的工作量或每有一处未充分实现扣</w:t>
            </w:r>
            <w:r>
              <w:rPr>
                <w:rFonts w:ascii="宋体" w:hAnsi="宋体" w:cs="宋体" w:hint="eastAsia"/>
                <w:color w:val="000000"/>
                <w:kern w:val="0"/>
                <w:sz w:val="20"/>
                <w:szCs w:val="20"/>
                <w:lang/>
              </w:rPr>
              <w:t>0.2</w:t>
            </w:r>
            <w:r>
              <w:rPr>
                <w:rFonts w:ascii="宋体" w:hAnsi="宋体" w:cs="宋体" w:hint="eastAsia"/>
                <w:color w:val="000000"/>
                <w:kern w:val="0"/>
                <w:sz w:val="20"/>
                <w:szCs w:val="20"/>
                <w:lang/>
              </w:rPr>
              <w:t>分，扣完为止。</w:t>
            </w:r>
          </w:p>
        </w:tc>
      </w:tr>
      <w:tr w:rsidR="00ED25C8">
        <w:trPr>
          <w:trHeight w:val="90"/>
        </w:trPr>
        <w:tc>
          <w:tcPr>
            <w:tcW w:w="14061" w:type="dxa"/>
            <w:gridSpan w:val="8"/>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ED25C8">
        <w:trPr>
          <w:trHeight w:val="90"/>
        </w:trPr>
        <w:tc>
          <w:tcPr>
            <w:tcW w:w="104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107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837"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18"/>
                <w:szCs w:val="18"/>
              </w:rPr>
            </w:pPr>
            <w:r>
              <w:rPr>
                <w:rFonts w:ascii="宋体" w:hAnsi="宋体" w:cs="宋体" w:hint="eastAsia"/>
                <w:color w:val="000000"/>
                <w:kern w:val="0"/>
                <w:sz w:val="18"/>
                <w:szCs w:val="18"/>
              </w:rPr>
              <w:t>评分标准</w:t>
            </w:r>
          </w:p>
        </w:tc>
      </w:tr>
      <w:tr w:rsidR="00ED25C8">
        <w:trPr>
          <w:trHeight w:val="90"/>
        </w:trPr>
        <w:tc>
          <w:tcPr>
            <w:tcW w:w="1043" w:type="dxa"/>
            <w:vMerge w:val="restart"/>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1079" w:type="dxa"/>
            <w:vMerge w:val="restart"/>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lang/>
              </w:rPr>
              <w:t>财务管理制度健全、完整、合规</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lang/>
              </w:rPr>
              <w:t>财务管理制度健全、完整、合规。</w:t>
            </w:r>
          </w:p>
        </w:tc>
        <w:tc>
          <w:tcPr>
            <w:tcW w:w="837"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 xml:space="preserve">　</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20"/>
                <w:szCs w:val="20"/>
                <w:lang/>
              </w:rPr>
              <w:t>0.5</w:t>
            </w:r>
            <w:r>
              <w:rPr>
                <w:rFonts w:ascii="宋体" w:hAnsi="宋体" w:cs="宋体" w:hint="eastAsia"/>
                <w:color w:val="000000"/>
                <w:kern w:val="0"/>
                <w:sz w:val="20"/>
                <w:szCs w:val="20"/>
                <w:lang/>
              </w:rPr>
              <w:t>分，扣完为止。</w:t>
            </w:r>
          </w:p>
        </w:tc>
      </w:tr>
      <w:tr w:rsidR="00ED25C8">
        <w:trPr>
          <w:trHeight w:val="1297"/>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资金使用合规，安全</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资金使用合规，安全。</w:t>
            </w:r>
          </w:p>
        </w:tc>
        <w:tc>
          <w:tcPr>
            <w:tcW w:w="837"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hint="eastAsia"/>
                <w:color w:val="000000"/>
                <w:kern w:val="0"/>
                <w:sz w:val="20"/>
                <w:szCs w:val="20"/>
              </w:rPr>
              <w:t xml:space="preserve">　</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①是否符合国家财经法规和财务管理制度规定以及有关专项资金管理办法的规定；②资金的拨付是否有完整的审批程序和手续；③项目的重大开支是否经过评估论证；④是否符合部门预</w:t>
            </w:r>
            <w:r>
              <w:rPr>
                <w:rFonts w:ascii="宋体" w:hAnsi="宋体" w:cs="宋体" w:hint="eastAsia"/>
                <w:color w:val="000000"/>
                <w:kern w:val="0"/>
                <w:sz w:val="20"/>
                <w:szCs w:val="20"/>
                <w:lang/>
              </w:rPr>
              <w:lastRenderedPageBreak/>
              <w:t>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20"/>
                <w:szCs w:val="20"/>
                <w:lang/>
              </w:rPr>
              <w:t>0.5</w:t>
            </w:r>
            <w:r>
              <w:rPr>
                <w:rFonts w:ascii="宋体" w:hAnsi="宋体" w:cs="宋体" w:hint="eastAsia"/>
                <w:color w:val="000000"/>
                <w:kern w:val="0"/>
                <w:sz w:val="20"/>
                <w:szCs w:val="20"/>
                <w:lang/>
              </w:rPr>
              <w:t>分，扣完为止。</w:t>
            </w:r>
          </w:p>
        </w:tc>
      </w:tr>
      <w:tr w:rsidR="00ED25C8">
        <w:trPr>
          <w:trHeight w:val="1035"/>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会计基础信息完善。</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会计基础信息完善。</w:t>
            </w:r>
          </w:p>
        </w:tc>
        <w:tc>
          <w:tcPr>
            <w:tcW w:w="837"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09" w:type="dxa"/>
            <w:tcBorders>
              <w:top w:val="single" w:sz="4" w:space="0" w:color="auto"/>
              <w:left w:val="single" w:sz="4" w:space="0" w:color="auto"/>
              <w:bottom w:val="single" w:sz="4" w:space="0" w:color="auto"/>
              <w:right w:val="single" w:sz="4" w:space="0" w:color="auto"/>
            </w:tcBorders>
            <w:noWrap/>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 xml:space="preserve">　</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20"/>
                <w:szCs w:val="20"/>
                <w:lang/>
              </w:rPr>
              <w:t>0.5</w:t>
            </w:r>
            <w:r>
              <w:rPr>
                <w:rFonts w:ascii="宋体" w:hAnsi="宋体" w:cs="宋体" w:hint="eastAsia"/>
                <w:color w:val="000000"/>
                <w:kern w:val="0"/>
                <w:sz w:val="20"/>
                <w:szCs w:val="20"/>
                <w:lang/>
              </w:rPr>
              <w:t>分，扣完为止。</w:t>
            </w:r>
          </w:p>
        </w:tc>
      </w:tr>
      <w:tr w:rsidR="00ED25C8">
        <w:trPr>
          <w:trHeight w:val="4593"/>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对外投资程序规范，无亏损；资产制度完整、资产配置符合要求、资产购置和处置程序符合相关制度要求</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对外投资程序规范，无亏损；资产制度完整、资产配置符合要求、资产购置和处置程序符合相关制度要求。</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4</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照要求进行报批或资产不公开处置行为；⑥其它资产管理制度办法执行情况。每有一项不合格扣</w:t>
            </w:r>
            <w:r>
              <w:rPr>
                <w:rFonts w:ascii="宋体" w:hAnsi="宋体" w:cs="宋体" w:hint="eastAsia"/>
                <w:color w:val="000000"/>
                <w:kern w:val="0"/>
                <w:sz w:val="20"/>
                <w:szCs w:val="20"/>
                <w:lang/>
              </w:rPr>
              <w:t>0.8</w:t>
            </w:r>
            <w:r>
              <w:rPr>
                <w:rFonts w:ascii="宋体" w:hAnsi="宋体" w:cs="宋体" w:hint="eastAsia"/>
                <w:color w:val="000000"/>
                <w:kern w:val="0"/>
                <w:sz w:val="20"/>
                <w:szCs w:val="20"/>
                <w:lang/>
              </w:rPr>
              <w:t>分，扣完为止。</w:t>
            </w:r>
          </w:p>
        </w:tc>
      </w:tr>
      <w:tr w:rsidR="00ED25C8">
        <w:trPr>
          <w:trHeight w:val="1340"/>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187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203"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按要求完成绩效管理工作；部门整体绩效目标按预期实现。</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20"/>
                <w:szCs w:val="20"/>
              </w:rPr>
            </w:pPr>
            <w:r>
              <w:rPr>
                <w:rFonts w:ascii="宋体" w:hAnsi="宋体" w:cs="宋体" w:hint="eastAsia"/>
                <w:color w:val="000000"/>
                <w:kern w:val="0"/>
                <w:sz w:val="20"/>
                <w:szCs w:val="20"/>
              </w:rPr>
              <w:t>按要求完成绩效管理工作；个别绩效目标未按预期实现。</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3.5</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rPr>
                <w:rFonts w:ascii="宋体" w:hAnsi="宋体" w:cs="宋体"/>
                <w:color w:val="000000"/>
                <w:kern w:val="0"/>
                <w:sz w:val="18"/>
                <w:szCs w:val="18"/>
              </w:rPr>
            </w:pPr>
            <w:r>
              <w:rPr>
                <w:rFonts w:ascii="宋体" w:hAnsi="宋体" w:cs="宋体" w:hint="eastAsia"/>
                <w:color w:val="000000"/>
                <w:kern w:val="0"/>
                <w:sz w:val="20"/>
                <w:szCs w:val="20"/>
                <w:lang/>
              </w:rPr>
              <w:t>①部门（单位）是否及时对绩效信息进行汇总分析整理；②部门（单位）是否对绩效目标偏离情况及时进行矫正。每有一项不合格扣</w:t>
            </w:r>
            <w:r>
              <w:rPr>
                <w:rFonts w:ascii="宋体" w:hAnsi="宋体" w:cs="宋体" w:hint="eastAsia"/>
                <w:color w:val="000000"/>
                <w:kern w:val="0"/>
                <w:sz w:val="20"/>
                <w:szCs w:val="20"/>
                <w:lang/>
              </w:rPr>
              <w:t>0.1</w:t>
            </w:r>
            <w:r>
              <w:rPr>
                <w:rFonts w:ascii="宋体" w:hAnsi="宋体" w:cs="宋体" w:hint="eastAsia"/>
                <w:color w:val="000000"/>
                <w:kern w:val="0"/>
                <w:sz w:val="20"/>
                <w:szCs w:val="20"/>
                <w:lang/>
              </w:rPr>
              <w:t>分。</w:t>
            </w:r>
          </w:p>
        </w:tc>
      </w:tr>
      <w:tr w:rsidR="00ED25C8">
        <w:trPr>
          <w:trHeight w:val="90"/>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076" w:type="dxa"/>
            <w:gridSpan w:val="2"/>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2023</w:t>
            </w:r>
            <w:r>
              <w:rPr>
                <w:rFonts w:ascii="宋体" w:hAnsi="宋体" w:cs="宋体" w:hint="eastAsia"/>
                <w:color w:val="000000"/>
                <w:kern w:val="0"/>
                <w:sz w:val="20"/>
                <w:szCs w:val="20"/>
              </w:rPr>
              <w:t>年</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7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kern w:val="0"/>
                <w:sz w:val="20"/>
                <w:szCs w:val="20"/>
              </w:rPr>
            </w:pPr>
            <w:r>
              <w:rPr>
                <w:rFonts w:hint="eastAsia"/>
                <w:kern w:val="0"/>
                <w:sz w:val="20"/>
                <w:szCs w:val="20"/>
              </w:rPr>
              <w:t>评分标准</w:t>
            </w:r>
          </w:p>
        </w:tc>
      </w:tr>
      <w:tr w:rsidR="00ED25C8">
        <w:trPr>
          <w:trHeight w:val="90"/>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076" w:type="dxa"/>
            <w:gridSpan w:val="2"/>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5.59%</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13.70</w:t>
            </w:r>
            <w:r>
              <w:rPr>
                <w:rFonts w:ascii="宋体" w:hAnsi="宋体" w:cs="宋体" w:hint="eastAsia"/>
                <w:color w:val="000000"/>
                <w:kern w:val="0"/>
                <w:sz w:val="20"/>
                <w:szCs w:val="20"/>
              </w:rPr>
              <w:t>%</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Pr>
                <w:rFonts w:ascii="宋体" w:hAnsi="宋体" w:cs="宋体" w:hint="eastAsia"/>
                <w:color w:val="000000"/>
                <w:kern w:val="0"/>
                <w:sz w:val="20"/>
                <w:szCs w:val="20"/>
              </w:rPr>
              <w:t>.8</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lang/>
              </w:rPr>
              <w:t>部门结转结余率低于上年的不扣分；高于上年结余率，每高出</w:t>
            </w:r>
            <w:r>
              <w:rPr>
                <w:rFonts w:ascii="宋体" w:hAnsi="宋体" w:cs="宋体" w:hint="eastAsia"/>
                <w:color w:val="000000"/>
                <w:kern w:val="0"/>
                <w:sz w:val="20"/>
                <w:szCs w:val="20"/>
                <w:lang/>
              </w:rPr>
              <w:t>1</w:t>
            </w:r>
            <w:r>
              <w:rPr>
                <w:rFonts w:ascii="宋体" w:hAnsi="宋体" w:cs="宋体" w:hint="eastAsia"/>
                <w:color w:val="000000"/>
                <w:kern w:val="0"/>
                <w:sz w:val="20"/>
                <w:szCs w:val="20"/>
                <w:lang/>
              </w:rPr>
              <w:t>个百分点扣</w:t>
            </w:r>
            <w:r>
              <w:rPr>
                <w:rFonts w:ascii="宋体" w:hAnsi="宋体" w:cs="宋体" w:hint="eastAsia"/>
                <w:color w:val="000000"/>
                <w:kern w:val="0"/>
                <w:sz w:val="20"/>
                <w:szCs w:val="20"/>
                <w:lang/>
              </w:rPr>
              <w:t>0.4</w:t>
            </w:r>
            <w:r>
              <w:rPr>
                <w:rFonts w:ascii="宋体" w:hAnsi="宋体" w:cs="宋体" w:hint="eastAsia"/>
                <w:color w:val="000000"/>
                <w:kern w:val="0"/>
                <w:sz w:val="20"/>
                <w:szCs w:val="20"/>
                <w:lang/>
              </w:rPr>
              <w:t>分，扣完为止。</w:t>
            </w:r>
            <w:r>
              <w:rPr>
                <w:rFonts w:ascii="宋体" w:hAnsi="宋体" w:cs="宋体" w:hint="eastAsia"/>
                <w:color w:val="000000"/>
                <w:kern w:val="0"/>
                <w:sz w:val="20"/>
                <w:szCs w:val="20"/>
                <w:lang/>
              </w:rPr>
              <w:lastRenderedPageBreak/>
              <w:t>（说明：预算调整和结转结余指标，如非预算部门主观因素导致扣分的，在评分结果征求意见环节，经与相关部门预算主管处室共同研究，可作为例外情况酌情考虑。）</w:t>
            </w:r>
          </w:p>
        </w:tc>
      </w:tr>
      <w:tr w:rsidR="00ED25C8">
        <w:trPr>
          <w:trHeight w:val="90"/>
        </w:trPr>
        <w:tc>
          <w:tcPr>
            <w:tcW w:w="1043" w:type="dxa"/>
            <w:vMerge/>
            <w:tcBorders>
              <w:top w:val="single" w:sz="4" w:space="0" w:color="auto"/>
              <w:left w:val="single" w:sz="4" w:space="0" w:color="auto"/>
              <w:bottom w:val="single" w:sz="4" w:space="0" w:color="auto"/>
              <w:right w:val="single" w:sz="4" w:space="0" w:color="auto"/>
            </w:tcBorders>
            <w:vAlign w:val="center"/>
          </w:tcPr>
          <w:p w:rsidR="00ED25C8" w:rsidRDefault="00ED25C8">
            <w:pPr>
              <w:widowControl/>
              <w:jc w:val="left"/>
              <w:rPr>
                <w:rFonts w:ascii="宋体" w:hAnsi="宋体" w:cs="宋体"/>
                <w:color w:val="000000"/>
                <w:kern w:val="0"/>
                <w:sz w:val="20"/>
                <w:szCs w:val="20"/>
              </w:rPr>
            </w:pPr>
          </w:p>
        </w:tc>
        <w:tc>
          <w:tcPr>
            <w:tcW w:w="107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076" w:type="dxa"/>
            <w:gridSpan w:val="2"/>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308"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71</w:t>
            </w:r>
            <w:r>
              <w:rPr>
                <w:rFonts w:ascii="宋体" w:hAnsi="宋体" w:cs="宋体" w:hint="eastAsia"/>
                <w:color w:val="000000"/>
                <w:kern w:val="0"/>
                <w:sz w:val="20"/>
                <w:szCs w:val="20"/>
              </w:rPr>
              <w:t>%</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009" w:type="dxa"/>
            <w:tcBorders>
              <w:top w:val="single" w:sz="4" w:space="0" w:color="auto"/>
              <w:left w:val="single" w:sz="4" w:space="0" w:color="auto"/>
              <w:bottom w:val="single" w:sz="4" w:space="0" w:color="auto"/>
              <w:right w:val="single" w:sz="4" w:space="0" w:color="auto"/>
            </w:tcBorders>
            <w:shd w:val="clear" w:color="auto" w:fill="auto"/>
            <w:vAlign w:val="center"/>
          </w:tcPr>
          <w:p w:rsidR="00ED25C8" w:rsidRDefault="000C0CEB">
            <w:pPr>
              <w:widowControl/>
              <w:jc w:val="left"/>
              <w:textAlignment w:val="center"/>
              <w:rPr>
                <w:rFonts w:ascii="宋体" w:hAnsi="宋体" w:cs="宋体"/>
                <w:color w:val="000000"/>
                <w:kern w:val="0"/>
                <w:sz w:val="18"/>
                <w:szCs w:val="18"/>
              </w:rPr>
            </w:pPr>
            <w:r>
              <w:rPr>
                <w:rFonts w:ascii="宋体" w:hAnsi="宋体" w:cs="宋体" w:hint="eastAsia"/>
                <w:color w:val="000000"/>
                <w:kern w:val="0"/>
                <w:sz w:val="20"/>
                <w:szCs w:val="20"/>
                <w:lang/>
              </w:rPr>
              <w:t>部门预算决算差异率高于市级平均差异率（</w:t>
            </w:r>
            <w:r>
              <w:rPr>
                <w:rFonts w:ascii="宋体" w:hAnsi="宋体" w:cs="宋体" w:hint="eastAsia"/>
                <w:color w:val="000000"/>
                <w:kern w:val="0"/>
                <w:sz w:val="20"/>
                <w:szCs w:val="20"/>
                <w:lang/>
              </w:rPr>
              <w:t>42.8%</w:t>
            </w:r>
            <w:r>
              <w:rPr>
                <w:rFonts w:ascii="宋体" w:hAnsi="宋体" w:cs="宋体" w:hint="eastAsia"/>
                <w:color w:val="000000"/>
                <w:kern w:val="0"/>
                <w:sz w:val="20"/>
                <w:szCs w:val="20"/>
                <w:lang/>
              </w:rPr>
              <w:t>），每高出</w:t>
            </w:r>
            <w:r>
              <w:rPr>
                <w:rFonts w:ascii="宋体" w:hAnsi="宋体" w:cs="宋体" w:hint="eastAsia"/>
                <w:color w:val="000000"/>
                <w:kern w:val="0"/>
                <w:sz w:val="20"/>
                <w:szCs w:val="20"/>
                <w:lang/>
              </w:rPr>
              <w:t>10%</w:t>
            </w:r>
            <w:r>
              <w:rPr>
                <w:rFonts w:ascii="宋体" w:hAnsi="宋体" w:cs="宋体" w:hint="eastAsia"/>
                <w:color w:val="000000"/>
                <w:kern w:val="0"/>
                <w:sz w:val="20"/>
                <w:szCs w:val="20"/>
                <w:lang/>
              </w:rPr>
              <w:t>（含），扣</w:t>
            </w:r>
            <w:r>
              <w:rPr>
                <w:rFonts w:ascii="宋体" w:hAnsi="宋体" w:cs="宋体" w:hint="eastAsia"/>
                <w:color w:val="000000"/>
                <w:kern w:val="0"/>
                <w:sz w:val="20"/>
                <w:szCs w:val="20"/>
                <w:lang/>
              </w:rPr>
              <w:t>0.4</w:t>
            </w:r>
            <w:r>
              <w:rPr>
                <w:rFonts w:ascii="宋体" w:hAnsi="宋体" w:cs="宋体" w:hint="eastAsia"/>
                <w:color w:val="000000"/>
                <w:kern w:val="0"/>
                <w:sz w:val="20"/>
                <w:szCs w:val="20"/>
                <w:lang/>
              </w:rPr>
              <w:t>分，扣完为止。</w:t>
            </w:r>
          </w:p>
        </w:tc>
      </w:tr>
      <w:tr w:rsidR="00ED25C8">
        <w:trPr>
          <w:trHeight w:val="90"/>
        </w:trPr>
        <w:tc>
          <w:tcPr>
            <w:tcW w:w="9506" w:type="dxa"/>
            <w:gridSpan w:val="5"/>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837"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709" w:type="dxa"/>
            <w:tcBorders>
              <w:top w:val="single" w:sz="4" w:space="0" w:color="auto"/>
              <w:left w:val="single" w:sz="4" w:space="0" w:color="auto"/>
              <w:bottom w:val="single" w:sz="4" w:space="0" w:color="auto"/>
              <w:right w:val="single" w:sz="4" w:space="0" w:color="auto"/>
            </w:tcBorders>
            <w:vAlign w:val="center"/>
          </w:tcPr>
          <w:p w:rsidR="00ED25C8" w:rsidRPr="007A1E01" w:rsidRDefault="000C0CEB">
            <w:pPr>
              <w:widowControl/>
              <w:jc w:val="center"/>
              <w:rPr>
                <w:rFonts w:ascii="宋体" w:hAnsi="宋体" w:cs="宋体"/>
                <w:kern w:val="0"/>
                <w:sz w:val="20"/>
                <w:szCs w:val="20"/>
              </w:rPr>
            </w:pPr>
            <w:r w:rsidRPr="007A1E01">
              <w:rPr>
                <w:rFonts w:ascii="宋体" w:hAnsi="宋体" w:cs="宋体" w:hint="eastAsia"/>
                <w:kern w:val="0"/>
                <w:sz w:val="20"/>
                <w:szCs w:val="20"/>
              </w:rPr>
              <w:t>93.</w:t>
            </w:r>
            <w:r w:rsidRPr="007A1E01">
              <w:rPr>
                <w:rFonts w:ascii="宋体" w:hAnsi="宋体" w:cs="宋体" w:hint="eastAsia"/>
                <w:kern w:val="0"/>
                <w:sz w:val="20"/>
                <w:szCs w:val="20"/>
              </w:rPr>
              <w:t>37</w:t>
            </w:r>
            <w:r w:rsidRPr="007A1E01">
              <w:rPr>
                <w:rFonts w:ascii="宋体" w:hAnsi="宋体" w:cs="宋体" w:hint="eastAsia"/>
                <w:kern w:val="0"/>
                <w:sz w:val="20"/>
                <w:szCs w:val="20"/>
              </w:rPr>
              <w:t xml:space="preserve">　</w:t>
            </w:r>
          </w:p>
        </w:tc>
        <w:tc>
          <w:tcPr>
            <w:tcW w:w="3009" w:type="dxa"/>
            <w:tcBorders>
              <w:top w:val="single" w:sz="4" w:space="0" w:color="auto"/>
              <w:left w:val="single" w:sz="4" w:space="0" w:color="auto"/>
              <w:bottom w:val="single" w:sz="4" w:space="0" w:color="auto"/>
              <w:right w:val="single" w:sz="4" w:space="0" w:color="auto"/>
            </w:tcBorders>
            <w:vAlign w:val="center"/>
          </w:tcPr>
          <w:p w:rsidR="00ED25C8" w:rsidRDefault="000C0CE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ED25C8" w:rsidRDefault="00ED25C8">
      <w:pPr>
        <w:pStyle w:val="a0"/>
      </w:pPr>
    </w:p>
    <w:sectPr w:rsidR="00ED25C8" w:rsidSect="00ED25C8">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0CEB" w:rsidRDefault="000C0CEB" w:rsidP="007A1E01">
      <w:pPr>
        <w:spacing w:after="0" w:line="240" w:lineRule="auto"/>
      </w:pPr>
      <w:r>
        <w:separator/>
      </w:r>
    </w:p>
  </w:endnote>
  <w:endnote w:type="continuationSeparator" w:id="1">
    <w:p w:rsidR="000C0CEB" w:rsidRDefault="000C0CEB" w:rsidP="007A1E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0CEB" w:rsidRDefault="000C0CEB" w:rsidP="007A1E01">
      <w:pPr>
        <w:spacing w:after="0" w:line="240" w:lineRule="auto"/>
      </w:pPr>
      <w:r>
        <w:separator/>
      </w:r>
    </w:p>
  </w:footnote>
  <w:footnote w:type="continuationSeparator" w:id="1">
    <w:p w:rsidR="000C0CEB" w:rsidRDefault="000C0CEB" w:rsidP="007A1E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Dc5OWYxOTBkNWFmMDlhNTEzNjBjMDFjMjI4MWYyOTYifQ=="/>
  </w:docVars>
  <w:rsids>
    <w:rsidRoot w:val="7C4240B9"/>
    <w:rsid w:val="000C0CEB"/>
    <w:rsid w:val="00321612"/>
    <w:rsid w:val="00492682"/>
    <w:rsid w:val="00542507"/>
    <w:rsid w:val="005608FA"/>
    <w:rsid w:val="005D75A3"/>
    <w:rsid w:val="005E3348"/>
    <w:rsid w:val="00610DDE"/>
    <w:rsid w:val="006D0BEA"/>
    <w:rsid w:val="00755F78"/>
    <w:rsid w:val="007A1E01"/>
    <w:rsid w:val="007C0195"/>
    <w:rsid w:val="00863C73"/>
    <w:rsid w:val="00893694"/>
    <w:rsid w:val="008B0FAB"/>
    <w:rsid w:val="00954D92"/>
    <w:rsid w:val="00991A09"/>
    <w:rsid w:val="009D6AE4"/>
    <w:rsid w:val="009F1A12"/>
    <w:rsid w:val="00B57822"/>
    <w:rsid w:val="00BF0EAF"/>
    <w:rsid w:val="00C02915"/>
    <w:rsid w:val="00CA6E83"/>
    <w:rsid w:val="00CB3A5A"/>
    <w:rsid w:val="00D60040"/>
    <w:rsid w:val="00D84796"/>
    <w:rsid w:val="00E47A21"/>
    <w:rsid w:val="00E86597"/>
    <w:rsid w:val="00ED25C8"/>
    <w:rsid w:val="00F11D86"/>
    <w:rsid w:val="00F52A73"/>
    <w:rsid w:val="01600E16"/>
    <w:rsid w:val="04AF3D2F"/>
    <w:rsid w:val="04C639CA"/>
    <w:rsid w:val="08837B92"/>
    <w:rsid w:val="08C86A00"/>
    <w:rsid w:val="0A027EF5"/>
    <w:rsid w:val="0A597BD8"/>
    <w:rsid w:val="0BD52154"/>
    <w:rsid w:val="0CAF0A58"/>
    <w:rsid w:val="0D511F64"/>
    <w:rsid w:val="0DC04C9A"/>
    <w:rsid w:val="0E8A5F01"/>
    <w:rsid w:val="0EC2777B"/>
    <w:rsid w:val="0FE16DB9"/>
    <w:rsid w:val="102E27CC"/>
    <w:rsid w:val="14EC6CC8"/>
    <w:rsid w:val="16D84E4F"/>
    <w:rsid w:val="18475A11"/>
    <w:rsid w:val="1A0A147C"/>
    <w:rsid w:val="1B492CA6"/>
    <w:rsid w:val="1B776C66"/>
    <w:rsid w:val="1E323F81"/>
    <w:rsid w:val="1F4A0682"/>
    <w:rsid w:val="1F5E1150"/>
    <w:rsid w:val="20CB3464"/>
    <w:rsid w:val="20D458DC"/>
    <w:rsid w:val="2169632B"/>
    <w:rsid w:val="232D62EB"/>
    <w:rsid w:val="25192C70"/>
    <w:rsid w:val="25B82986"/>
    <w:rsid w:val="261D2648"/>
    <w:rsid w:val="26FA2AF4"/>
    <w:rsid w:val="27437F87"/>
    <w:rsid w:val="27C65016"/>
    <w:rsid w:val="29292518"/>
    <w:rsid w:val="29755D4A"/>
    <w:rsid w:val="2AA6152A"/>
    <w:rsid w:val="2B2A6068"/>
    <w:rsid w:val="2BF15D8B"/>
    <w:rsid w:val="2E7466B4"/>
    <w:rsid w:val="2F151C27"/>
    <w:rsid w:val="31675B53"/>
    <w:rsid w:val="333A6ED4"/>
    <w:rsid w:val="340B036E"/>
    <w:rsid w:val="36994EEF"/>
    <w:rsid w:val="36C93127"/>
    <w:rsid w:val="37BD6592"/>
    <w:rsid w:val="3AF555A9"/>
    <w:rsid w:val="3BB8009F"/>
    <w:rsid w:val="3BE9475B"/>
    <w:rsid w:val="3C621912"/>
    <w:rsid w:val="3C64016D"/>
    <w:rsid w:val="40696F67"/>
    <w:rsid w:val="41BA6B6F"/>
    <w:rsid w:val="454F7C7D"/>
    <w:rsid w:val="4652117F"/>
    <w:rsid w:val="473E0CD4"/>
    <w:rsid w:val="478902AF"/>
    <w:rsid w:val="48A8351A"/>
    <w:rsid w:val="4AFB34A6"/>
    <w:rsid w:val="4B62106E"/>
    <w:rsid w:val="4B88209B"/>
    <w:rsid w:val="4C0F0269"/>
    <w:rsid w:val="4D0E5CBB"/>
    <w:rsid w:val="4F02137E"/>
    <w:rsid w:val="4F6232C2"/>
    <w:rsid w:val="4FFB74C9"/>
    <w:rsid w:val="50120260"/>
    <w:rsid w:val="515E7614"/>
    <w:rsid w:val="555779FC"/>
    <w:rsid w:val="5696026F"/>
    <w:rsid w:val="57550683"/>
    <w:rsid w:val="576F1DC6"/>
    <w:rsid w:val="57740BED"/>
    <w:rsid w:val="59F92974"/>
    <w:rsid w:val="5A2B765F"/>
    <w:rsid w:val="5AF00C01"/>
    <w:rsid w:val="5DC84133"/>
    <w:rsid w:val="62184160"/>
    <w:rsid w:val="62680E8E"/>
    <w:rsid w:val="657D6529"/>
    <w:rsid w:val="68571B9C"/>
    <w:rsid w:val="68647527"/>
    <w:rsid w:val="69D6065F"/>
    <w:rsid w:val="6AF56869"/>
    <w:rsid w:val="6B1D1B59"/>
    <w:rsid w:val="6D704AD1"/>
    <w:rsid w:val="6E5216BA"/>
    <w:rsid w:val="6E7D4AAA"/>
    <w:rsid w:val="6F4F1C71"/>
    <w:rsid w:val="711C0EED"/>
    <w:rsid w:val="71C8599D"/>
    <w:rsid w:val="72D15D6A"/>
    <w:rsid w:val="73562442"/>
    <w:rsid w:val="73F235F9"/>
    <w:rsid w:val="74C739BC"/>
    <w:rsid w:val="7520766A"/>
    <w:rsid w:val="762D214C"/>
    <w:rsid w:val="763A4FBC"/>
    <w:rsid w:val="7A8C21F2"/>
    <w:rsid w:val="7AF57093"/>
    <w:rsid w:val="7B1F58FC"/>
    <w:rsid w:val="7B3D4F47"/>
    <w:rsid w:val="7C4240B9"/>
    <w:rsid w:val="7C8D1F42"/>
    <w:rsid w:val="7CB2466C"/>
    <w:rsid w:val="7E1C07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ED25C8"/>
    <w:pPr>
      <w:widowControl w:val="0"/>
      <w:spacing w:after="160" w:line="278" w:lineRule="auto"/>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a"/>
    <w:uiPriority w:val="99"/>
    <w:qFormat/>
    <w:rsid w:val="00ED25C8"/>
    <w:pPr>
      <w:tabs>
        <w:tab w:val="center" w:pos="4153"/>
        <w:tab w:val="right" w:pos="8306"/>
      </w:tabs>
      <w:snapToGrid w:val="0"/>
      <w:jc w:val="left"/>
    </w:pPr>
    <w:rPr>
      <w:sz w:val="18"/>
      <w:szCs w:val="20"/>
    </w:rPr>
  </w:style>
  <w:style w:type="paragraph" w:styleId="a4">
    <w:name w:val="annotation text"/>
    <w:basedOn w:val="a"/>
    <w:qFormat/>
    <w:rsid w:val="00ED25C8"/>
    <w:pPr>
      <w:jc w:val="left"/>
    </w:pPr>
  </w:style>
  <w:style w:type="paragraph" w:styleId="a5">
    <w:name w:val="header"/>
    <w:basedOn w:val="a"/>
    <w:link w:val="Char"/>
    <w:qFormat/>
    <w:rsid w:val="00ED25C8"/>
    <w:pPr>
      <w:tabs>
        <w:tab w:val="center" w:pos="4153"/>
        <w:tab w:val="right" w:pos="8306"/>
      </w:tabs>
      <w:snapToGrid w:val="0"/>
      <w:spacing w:line="240" w:lineRule="auto"/>
      <w:jc w:val="center"/>
    </w:pPr>
    <w:rPr>
      <w:sz w:val="18"/>
      <w:szCs w:val="18"/>
    </w:rPr>
  </w:style>
  <w:style w:type="character" w:customStyle="1" w:styleId="font11">
    <w:name w:val="font11"/>
    <w:basedOn w:val="a1"/>
    <w:qFormat/>
    <w:rsid w:val="00ED25C8"/>
    <w:rPr>
      <w:rFonts w:ascii="宋体" w:eastAsia="宋体" w:hAnsi="宋体" w:cs="宋体" w:hint="eastAsia"/>
      <w:color w:val="000000"/>
      <w:sz w:val="18"/>
      <w:szCs w:val="18"/>
      <w:u w:val="none"/>
    </w:rPr>
  </w:style>
  <w:style w:type="character" w:customStyle="1" w:styleId="Char">
    <w:name w:val="页眉 Char"/>
    <w:basedOn w:val="a1"/>
    <w:link w:val="a5"/>
    <w:qFormat/>
    <w:rsid w:val="00ED25C8"/>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794</Words>
  <Characters>4528</Characters>
  <Application>Microsoft Office Word</Application>
  <DocSecurity>0</DocSecurity>
  <Lines>37</Lines>
  <Paragraphs>10</Paragraphs>
  <ScaleCrop>false</ScaleCrop>
  <Company>HP</Company>
  <LinksUpToDate>false</LinksUpToDate>
  <CharactersWithSpaces>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温如言 。</dc:creator>
  <cp:lastModifiedBy>TUN</cp:lastModifiedBy>
  <cp:revision>7</cp:revision>
  <dcterms:created xsi:type="dcterms:W3CDTF">2022-04-19T05:19:00Z</dcterms:created>
  <dcterms:modified xsi:type="dcterms:W3CDTF">2024-06-04T01:13:00Z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DB8066B8217F4232AC86A435A0258641_13</vt:lpwstr>
  </property>
  <property fmtid="{D5CDD505-2E9C-101B-9397-08002B2CF9AE}" pid="4" name="commondata">
    <vt:lpwstr>eyJoZGlkIjoiODhkYTg5N2ZlMDM0NDE3ZmFiODE1OWU3NDZhOGY1MDEifQ==</vt:lpwstr>
  </property>
</Properties>
</file>