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BFD" w:rsidRDefault="00276BFD" w:rsidP="00641BA0">
      <w:pPr>
        <w:spacing w:beforeLines="50" w:afterLines="50" w:line="480" w:lineRule="auto"/>
        <w:rPr>
          <w:rFonts w:eastAsia="仿宋_GB2312"/>
          <w:b/>
          <w:bCs/>
          <w:sz w:val="44"/>
          <w:szCs w:val="36"/>
        </w:rPr>
      </w:pPr>
    </w:p>
    <w:p w:rsidR="00276BFD" w:rsidRDefault="00276BFD" w:rsidP="00641BA0">
      <w:pPr>
        <w:spacing w:beforeLines="50" w:afterLines="50" w:line="480" w:lineRule="auto"/>
        <w:jc w:val="center"/>
        <w:rPr>
          <w:rFonts w:eastAsia="仿宋_GB2312"/>
          <w:b/>
          <w:bCs/>
          <w:sz w:val="44"/>
          <w:szCs w:val="36"/>
        </w:rPr>
      </w:pPr>
    </w:p>
    <w:p w:rsidR="00276BFD" w:rsidRDefault="00276BFD" w:rsidP="00641BA0">
      <w:pPr>
        <w:spacing w:beforeLines="50" w:afterLines="50" w:line="480" w:lineRule="auto"/>
        <w:jc w:val="center"/>
        <w:rPr>
          <w:rFonts w:eastAsia="仿宋_GB2312"/>
          <w:b/>
          <w:bCs/>
          <w:sz w:val="44"/>
          <w:szCs w:val="36"/>
        </w:rPr>
      </w:pPr>
    </w:p>
    <w:p w:rsidR="00276BFD" w:rsidRDefault="00A326DA">
      <w:pPr>
        <w:adjustRightInd w:val="0"/>
        <w:snapToGrid w:val="0"/>
        <w:spacing w:line="360" w:lineRule="auto"/>
        <w:jc w:val="center"/>
        <w:rPr>
          <w:rFonts w:ascii="黑体" w:eastAsia="黑体" w:hAnsi="黑体" w:cs="黑体"/>
          <w:bCs/>
          <w:sz w:val="72"/>
          <w:szCs w:val="72"/>
        </w:rPr>
      </w:pPr>
      <w:r>
        <w:rPr>
          <w:rFonts w:ascii="黑体" w:eastAsia="黑体" w:hAnsi="黑体" w:cs="黑体" w:hint="eastAsia"/>
          <w:bCs/>
          <w:sz w:val="72"/>
          <w:szCs w:val="72"/>
        </w:rPr>
        <w:t>2023</w:t>
      </w:r>
      <w:r>
        <w:rPr>
          <w:rFonts w:ascii="黑体" w:eastAsia="黑体" w:hAnsi="黑体" w:cs="黑体" w:hint="eastAsia"/>
          <w:bCs/>
          <w:sz w:val="72"/>
          <w:szCs w:val="72"/>
        </w:rPr>
        <w:t>年部门整体</w:t>
      </w:r>
    </w:p>
    <w:p w:rsidR="00276BFD" w:rsidRDefault="00A326DA">
      <w:pPr>
        <w:adjustRightInd w:val="0"/>
        <w:snapToGrid w:val="0"/>
        <w:spacing w:line="360" w:lineRule="auto"/>
        <w:jc w:val="center"/>
        <w:rPr>
          <w:rFonts w:ascii="黑体" w:eastAsia="黑体" w:hAnsi="黑体" w:cs="黑体"/>
          <w:bCs/>
          <w:sz w:val="72"/>
          <w:szCs w:val="72"/>
        </w:rPr>
      </w:pPr>
      <w:r>
        <w:rPr>
          <w:rFonts w:ascii="黑体" w:eastAsia="黑体" w:hAnsi="黑体" w:cs="黑体" w:hint="eastAsia"/>
          <w:bCs/>
          <w:sz w:val="72"/>
          <w:szCs w:val="72"/>
        </w:rPr>
        <w:t>绩效评价报告</w:t>
      </w:r>
    </w:p>
    <w:p w:rsidR="00276BFD" w:rsidRDefault="00276BFD">
      <w:pPr>
        <w:spacing w:line="360" w:lineRule="auto"/>
        <w:jc w:val="center"/>
        <w:rPr>
          <w:rFonts w:eastAsia="仿宋"/>
          <w:b/>
          <w:bCs/>
          <w:sz w:val="52"/>
          <w:szCs w:val="52"/>
        </w:rPr>
      </w:pPr>
    </w:p>
    <w:p w:rsidR="00276BFD" w:rsidRDefault="00276BFD">
      <w:pPr>
        <w:spacing w:line="360" w:lineRule="auto"/>
        <w:jc w:val="center"/>
        <w:rPr>
          <w:rFonts w:eastAsia="仿宋"/>
          <w:b/>
          <w:bCs/>
          <w:sz w:val="52"/>
          <w:szCs w:val="52"/>
        </w:rPr>
      </w:pPr>
    </w:p>
    <w:p w:rsidR="00276BFD" w:rsidRDefault="00276BFD">
      <w:pPr>
        <w:spacing w:line="360" w:lineRule="auto"/>
        <w:jc w:val="center"/>
        <w:rPr>
          <w:rFonts w:eastAsia="仿宋"/>
          <w:b/>
          <w:bCs/>
          <w:sz w:val="52"/>
          <w:szCs w:val="52"/>
        </w:rPr>
      </w:pPr>
    </w:p>
    <w:p w:rsidR="00276BFD" w:rsidRDefault="00276BFD">
      <w:pPr>
        <w:pStyle w:val="2"/>
        <w:ind w:firstLine="1044"/>
        <w:rPr>
          <w:rFonts w:eastAsia="仿宋"/>
          <w:b/>
          <w:bCs/>
          <w:sz w:val="52"/>
          <w:szCs w:val="52"/>
        </w:rPr>
      </w:pPr>
    </w:p>
    <w:p w:rsidR="00276BFD" w:rsidRDefault="00276BFD">
      <w:pPr>
        <w:pStyle w:val="2"/>
        <w:ind w:firstLine="1044"/>
        <w:rPr>
          <w:rFonts w:eastAsia="仿宋"/>
          <w:b/>
          <w:bCs/>
          <w:sz w:val="52"/>
          <w:szCs w:val="52"/>
        </w:rPr>
      </w:pPr>
    </w:p>
    <w:p w:rsidR="00276BFD" w:rsidRDefault="00276BFD">
      <w:pPr>
        <w:pStyle w:val="2"/>
        <w:ind w:firstLine="1044"/>
        <w:rPr>
          <w:rFonts w:eastAsia="仿宋"/>
          <w:b/>
          <w:bCs/>
          <w:sz w:val="52"/>
          <w:szCs w:val="52"/>
        </w:rPr>
      </w:pPr>
    </w:p>
    <w:p w:rsidR="00276BFD" w:rsidRDefault="00276BFD">
      <w:pPr>
        <w:pStyle w:val="2"/>
        <w:ind w:firstLine="1044"/>
        <w:rPr>
          <w:rFonts w:eastAsia="仿宋"/>
          <w:b/>
          <w:bCs/>
          <w:sz w:val="52"/>
          <w:szCs w:val="52"/>
        </w:rPr>
      </w:pPr>
    </w:p>
    <w:p w:rsidR="00276BFD" w:rsidRDefault="00276BFD">
      <w:pPr>
        <w:spacing w:line="360" w:lineRule="auto"/>
        <w:jc w:val="center"/>
        <w:rPr>
          <w:rFonts w:eastAsia="仿宋"/>
          <w:b/>
          <w:bCs/>
          <w:sz w:val="52"/>
          <w:szCs w:val="52"/>
        </w:rPr>
      </w:pPr>
    </w:p>
    <w:p w:rsidR="00276BFD" w:rsidRDefault="00276BFD">
      <w:pPr>
        <w:spacing w:line="360" w:lineRule="auto"/>
        <w:rPr>
          <w:rFonts w:eastAsia="仿宋"/>
          <w:b/>
          <w:bCs/>
          <w:sz w:val="52"/>
          <w:szCs w:val="52"/>
        </w:rPr>
      </w:pPr>
    </w:p>
    <w:p w:rsidR="00276BFD" w:rsidRDefault="00A326DA">
      <w:pPr>
        <w:spacing w:line="360" w:lineRule="auto"/>
        <w:jc w:val="center"/>
        <w:rPr>
          <w:rFonts w:eastAsia="仿宋_GB2312"/>
          <w:b/>
          <w:bCs/>
          <w:color w:val="000000"/>
          <w:sz w:val="36"/>
          <w:szCs w:val="36"/>
          <w:lang/>
        </w:rPr>
      </w:pPr>
      <w:r>
        <w:rPr>
          <w:rFonts w:eastAsia="仿宋_GB2312" w:hint="eastAsia"/>
          <w:b/>
          <w:bCs/>
          <w:color w:val="000000"/>
          <w:sz w:val="36"/>
          <w:szCs w:val="36"/>
          <w:lang/>
        </w:rPr>
        <w:t>国家大剧院</w:t>
      </w:r>
    </w:p>
    <w:p w:rsidR="00276BFD" w:rsidRDefault="00A326DA">
      <w:pPr>
        <w:spacing w:line="360" w:lineRule="auto"/>
        <w:jc w:val="center"/>
        <w:rPr>
          <w:rFonts w:eastAsia="仿宋_GB2312"/>
          <w:b/>
          <w:bCs/>
          <w:color w:val="000000"/>
          <w:sz w:val="36"/>
          <w:szCs w:val="36"/>
          <w:lang/>
        </w:rPr>
      </w:pPr>
      <w:r>
        <w:rPr>
          <w:rFonts w:eastAsia="仿宋_GB2312"/>
          <w:b/>
          <w:bCs/>
          <w:color w:val="000000"/>
          <w:sz w:val="36"/>
          <w:szCs w:val="36"/>
          <w:lang/>
        </w:rPr>
        <w:t>二零二</w:t>
      </w:r>
      <w:r>
        <w:rPr>
          <w:rFonts w:eastAsia="仿宋_GB2312" w:hint="eastAsia"/>
          <w:b/>
          <w:bCs/>
          <w:color w:val="000000"/>
          <w:sz w:val="36"/>
          <w:szCs w:val="36"/>
          <w:lang/>
        </w:rPr>
        <w:t>四</w:t>
      </w:r>
      <w:r>
        <w:rPr>
          <w:rFonts w:eastAsia="仿宋_GB2312"/>
          <w:b/>
          <w:bCs/>
          <w:color w:val="000000"/>
          <w:sz w:val="36"/>
          <w:szCs w:val="36"/>
          <w:lang/>
        </w:rPr>
        <w:t>年</w:t>
      </w:r>
      <w:r>
        <w:rPr>
          <w:rFonts w:eastAsia="仿宋_GB2312" w:hint="eastAsia"/>
          <w:b/>
          <w:bCs/>
          <w:color w:val="000000"/>
          <w:sz w:val="36"/>
          <w:szCs w:val="36"/>
          <w:lang/>
        </w:rPr>
        <w:t>五</w:t>
      </w:r>
      <w:r>
        <w:rPr>
          <w:rFonts w:eastAsia="仿宋_GB2312"/>
          <w:b/>
          <w:bCs/>
          <w:color w:val="000000"/>
          <w:sz w:val="36"/>
          <w:szCs w:val="36"/>
          <w:lang/>
        </w:rPr>
        <w:t>月</w:t>
      </w:r>
    </w:p>
    <w:p w:rsidR="00276BFD" w:rsidRDefault="00276BFD">
      <w:pPr>
        <w:pStyle w:val="a9"/>
        <w:rPr>
          <w:rFonts w:ascii="方正小标宋简体" w:eastAsia="方正小标宋简体" w:hAnsi="黑体" w:cs="Arial"/>
          <w:bCs/>
          <w:sz w:val="44"/>
          <w:szCs w:val="44"/>
        </w:rPr>
        <w:sectPr w:rsidR="00276BFD">
          <w:footerReference w:type="default" r:id="rId8"/>
          <w:pgSz w:w="11906" w:h="16838"/>
          <w:pgMar w:top="1440" w:right="1800" w:bottom="1440" w:left="1800" w:header="851" w:footer="992" w:gutter="0"/>
          <w:cols w:space="425"/>
          <w:docGrid w:type="lines" w:linePitch="312"/>
        </w:sectPr>
      </w:pPr>
    </w:p>
    <w:p w:rsidR="00276BFD" w:rsidRDefault="00276BFD"/>
    <w:sdt>
      <w:sdtPr>
        <w:rPr>
          <w:rFonts w:ascii="仿宋_GB2312" w:eastAsia="仿宋_GB2312" w:hAnsi="仿宋_GB2312" w:cs="仿宋_GB2312" w:hint="eastAsia"/>
          <w:b/>
          <w:bCs/>
          <w:sz w:val="40"/>
          <w:szCs w:val="48"/>
        </w:rPr>
        <w:id w:val="147481087"/>
        <w:docPartObj>
          <w:docPartGallery w:val="Table of Contents"/>
          <w:docPartUnique/>
        </w:docPartObj>
      </w:sdtPr>
      <w:sdtEndPr>
        <w:rPr>
          <w:rFonts w:ascii="Times New Roman" w:eastAsia="宋体" w:hAnsi="Times New Roman" w:cs="Times New Roman"/>
          <w:sz w:val="21"/>
          <w:szCs w:val="24"/>
        </w:rPr>
      </w:sdtEndPr>
      <w:sdtContent>
        <w:p w:rsidR="00276BFD" w:rsidRDefault="00A326DA">
          <w:pPr>
            <w:jc w:val="center"/>
            <w:rPr>
              <w:rFonts w:ascii="仿宋_GB2312" w:eastAsia="仿宋_GB2312" w:hAnsi="仿宋_GB2312" w:cs="仿宋_GB2312"/>
              <w:b/>
              <w:bCs/>
              <w:sz w:val="40"/>
              <w:szCs w:val="48"/>
            </w:rPr>
          </w:pPr>
          <w:r>
            <w:rPr>
              <w:rFonts w:ascii="仿宋_GB2312" w:eastAsia="仿宋_GB2312" w:hAnsi="仿宋_GB2312" w:cs="仿宋_GB2312" w:hint="eastAsia"/>
              <w:b/>
              <w:bCs/>
              <w:sz w:val="40"/>
              <w:szCs w:val="48"/>
            </w:rPr>
            <w:t>目录</w:t>
          </w:r>
        </w:p>
        <w:p w:rsidR="00276BFD" w:rsidRDefault="00276BFD">
          <w:pPr>
            <w:pStyle w:val="10"/>
            <w:tabs>
              <w:tab w:val="right" w:leader="dot" w:pos="8306"/>
            </w:tabs>
            <w:rPr>
              <w:rFonts w:ascii="仿宋" w:eastAsia="仿宋" w:hAnsi="仿宋" w:cs="仿宋"/>
              <w:sz w:val="28"/>
              <w:szCs w:val="36"/>
            </w:rPr>
          </w:pPr>
          <w:r>
            <w:rPr>
              <w:rFonts w:hint="eastAsia"/>
            </w:rPr>
            <w:fldChar w:fldCharType="begin"/>
          </w:r>
          <w:r w:rsidR="00A326DA">
            <w:rPr>
              <w:rFonts w:hint="eastAsia"/>
            </w:rPr>
            <w:instrText xml:space="preserve">TOC \o "1-1" \h \u </w:instrText>
          </w:r>
          <w:r>
            <w:rPr>
              <w:rFonts w:hint="eastAsia"/>
            </w:rPr>
            <w:fldChar w:fldCharType="separate"/>
          </w:r>
          <w:hyperlink w:anchor="_Toc415" w:history="1">
            <w:r w:rsidR="00A326DA">
              <w:rPr>
                <w:rFonts w:ascii="仿宋" w:eastAsia="仿宋" w:hAnsi="仿宋" w:cs="仿宋" w:hint="eastAsia"/>
                <w:sz w:val="28"/>
                <w:szCs w:val="36"/>
              </w:rPr>
              <w:t>一、部门概况</w:t>
            </w:r>
            <w:r w:rsidR="00A326DA">
              <w:rPr>
                <w:rFonts w:ascii="仿宋" w:eastAsia="仿宋" w:hAnsi="仿宋" w:cs="仿宋" w:hint="eastAsia"/>
                <w:sz w:val="28"/>
                <w:szCs w:val="36"/>
              </w:rPr>
              <w:tab/>
            </w:r>
            <w:r>
              <w:rPr>
                <w:rFonts w:ascii="仿宋" w:eastAsia="仿宋" w:hAnsi="仿宋" w:cs="仿宋" w:hint="eastAsia"/>
                <w:sz w:val="28"/>
                <w:szCs w:val="36"/>
              </w:rPr>
              <w:fldChar w:fldCharType="begin"/>
            </w:r>
            <w:r w:rsidR="00A326DA">
              <w:rPr>
                <w:rFonts w:ascii="仿宋" w:eastAsia="仿宋" w:hAnsi="仿宋" w:cs="仿宋" w:hint="eastAsia"/>
                <w:sz w:val="28"/>
                <w:szCs w:val="36"/>
              </w:rPr>
              <w:instrText xml:space="preserve"> PAGEREF _Toc415 \h </w:instrText>
            </w:r>
            <w:r>
              <w:rPr>
                <w:rFonts w:ascii="仿宋" w:eastAsia="仿宋" w:hAnsi="仿宋" w:cs="仿宋" w:hint="eastAsia"/>
                <w:sz w:val="28"/>
                <w:szCs w:val="36"/>
              </w:rPr>
            </w:r>
            <w:r>
              <w:rPr>
                <w:rFonts w:ascii="仿宋" w:eastAsia="仿宋" w:hAnsi="仿宋" w:cs="仿宋" w:hint="eastAsia"/>
                <w:sz w:val="28"/>
                <w:szCs w:val="36"/>
              </w:rPr>
              <w:fldChar w:fldCharType="separate"/>
            </w:r>
            <w:r w:rsidR="00A326DA">
              <w:rPr>
                <w:rFonts w:ascii="仿宋" w:eastAsia="仿宋" w:hAnsi="仿宋" w:cs="仿宋"/>
                <w:sz w:val="28"/>
                <w:szCs w:val="36"/>
              </w:rPr>
              <w:t>1</w:t>
            </w:r>
            <w:r>
              <w:rPr>
                <w:rFonts w:ascii="仿宋" w:eastAsia="仿宋" w:hAnsi="仿宋" w:cs="仿宋" w:hint="eastAsia"/>
                <w:sz w:val="28"/>
                <w:szCs w:val="36"/>
              </w:rPr>
              <w:fldChar w:fldCharType="end"/>
            </w:r>
          </w:hyperlink>
        </w:p>
        <w:p w:rsidR="00276BFD" w:rsidRDefault="00276BFD">
          <w:pPr>
            <w:pStyle w:val="10"/>
            <w:tabs>
              <w:tab w:val="right" w:leader="dot" w:pos="8306"/>
            </w:tabs>
            <w:rPr>
              <w:rFonts w:ascii="仿宋" w:eastAsia="仿宋" w:hAnsi="仿宋" w:cs="仿宋"/>
              <w:sz w:val="28"/>
              <w:szCs w:val="36"/>
            </w:rPr>
          </w:pPr>
          <w:hyperlink w:anchor="_Toc8749" w:history="1">
            <w:r w:rsidR="00A326DA">
              <w:rPr>
                <w:rFonts w:ascii="仿宋" w:eastAsia="仿宋" w:hAnsi="仿宋" w:cs="仿宋" w:hint="eastAsia"/>
                <w:sz w:val="28"/>
                <w:szCs w:val="36"/>
              </w:rPr>
              <w:t>二、当年预算执行情况</w:t>
            </w:r>
            <w:r w:rsidR="00A326DA">
              <w:rPr>
                <w:rFonts w:ascii="仿宋" w:eastAsia="仿宋" w:hAnsi="仿宋" w:cs="仿宋" w:hint="eastAsia"/>
                <w:sz w:val="28"/>
                <w:szCs w:val="36"/>
              </w:rPr>
              <w:tab/>
            </w:r>
            <w:r>
              <w:rPr>
                <w:rFonts w:ascii="仿宋" w:eastAsia="仿宋" w:hAnsi="仿宋" w:cs="仿宋" w:hint="eastAsia"/>
                <w:sz w:val="28"/>
                <w:szCs w:val="36"/>
              </w:rPr>
              <w:fldChar w:fldCharType="begin"/>
            </w:r>
            <w:r w:rsidR="00A326DA">
              <w:rPr>
                <w:rFonts w:ascii="仿宋" w:eastAsia="仿宋" w:hAnsi="仿宋" w:cs="仿宋" w:hint="eastAsia"/>
                <w:sz w:val="28"/>
                <w:szCs w:val="36"/>
              </w:rPr>
              <w:instrText xml:space="preserve"> PAGEREF _Toc8749 \h </w:instrText>
            </w:r>
            <w:r>
              <w:rPr>
                <w:rFonts w:ascii="仿宋" w:eastAsia="仿宋" w:hAnsi="仿宋" w:cs="仿宋" w:hint="eastAsia"/>
                <w:sz w:val="28"/>
                <w:szCs w:val="36"/>
              </w:rPr>
            </w:r>
            <w:r>
              <w:rPr>
                <w:rFonts w:ascii="仿宋" w:eastAsia="仿宋" w:hAnsi="仿宋" w:cs="仿宋" w:hint="eastAsia"/>
                <w:sz w:val="28"/>
                <w:szCs w:val="36"/>
              </w:rPr>
              <w:fldChar w:fldCharType="separate"/>
            </w:r>
            <w:r w:rsidR="00A326DA">
              <w:rPr>
                <w:rFonts w:ascii="仿宋" w:eastAsia="仿宋" w:hAnsi="仿宋" w:cs="仿宋"/>
                <w:sz w:val="28"/>
                <w:szCs w:val="36"/>
              </w:rPr>
              <w:t>6</w:t>
            </w:r>
            <w:r>
              <w:rPr>
                <w:rFonts w:ascii="仿宋" w:eastAsia="仿宋" w:hAnsi="仿宋" w:cs="仿宋" w:hint="eastAsia"/>
                <w:sz w:val="28"/>
                <w:szCs w:val="36"/>
              </w:rPr>
              <w:fldChar w:fldCharType="end"/>
            </w:r>
          </w:hyperlink>
        </w:p>
        <w:p w:rsidR="00276BFD" w:rsidRDefault="00276BFD">
          <w:pPr>
            <w:pStyle w:val="10"/>
            <w:tabs>
              <w:tab w:val="right" w:leader="dot" w:pos="8306"/>
            </w:tabs>
            <w:rPr>
              <w:rFonts w:ascii="仿宋" w:eastAsia="仿宋" w:hAnsi="仿宋" w:cs="仿宋"/>
              <w:sz w:val="28"/>
              <w:szCs w:val="36"/>
            </w:rPr>
          </w:pPr>
          <w:hyperlink w:anchor="_Toc20033" w:history="1">
            <w:r w:rsidR="00A326DA">
              <w:rPr>
                <w:rFonts w:ascii="仿宋" w:eastAsia="仿宋" w:hAnsi="仿宋" w:cs="仿宋" w:hint="eastAsia"/>
                <w:sz w:val="28"/>
                <w:szCs w:val="36"/>
              </w:rPr>
              <w:t>三、整体绩效目标实现情况</w:t>
            </w:r>
            <w:r w:rsidR="00A326DA">
              <w:rPr>
                <w:rFonts w:ascii="仿宋" w:eastAsia="仿宋" w:hAnsi="仿宋" w:cs="仿宋" w:hint="eastAsia"/>
                <w:sz w:val="28"/>
                <w:szCs w:val="36"/>
              </w:rPr>
              <w:tab/>
            </w:r>
            <w:r>
              <w:rPr>
                <w:rFonts w:ascii="仿宋" w:eastAsia="仿宋" w:hAnsi="仿宋" w:cs="仿宋" w:hint="eastAsia"/>
                <w:sz w:val="28"/>
                <w:szCs w:val="36"/>
              </w:rPr>
              <w:fldChar w:fldCharType="begin"/>
            </w:r>
            <w:r w:rsidR="00A326DA">
              <w:rPr>
                <w:rFonts w:ascii="仿宋" w:eastAsia="仿宋" w:hAnsi="仿宋" w:cs="仿宋" w:hint="eastAsia"/>
                <w:sz w:val="28"/>
                <w:szCs w:val="36"/>
              </w:rPr>
              <w:instrText xml:space="preserve"> PAGEREF _Toc20033 \h </w:instrText>
            </w:r>
            <w:r>
              <w:rPr>
                <w:rFonts w:ascii="仿宋" w:eastAsia="仿宋" w:hAnsi="仿宋" w:cs="仿宋" w:hint="eastAsia"/>
                <w:sz w:val="28"/>
                <w:szCs w:val="36"/>
              </w:rPr>
            </w:r>
            <w:r>
              <w:rPr>
                <w:rFonts w:ascii="仿宋" w:eastAsia="仿宋" w:hAnsi="仿宋" w:cs="仿宋" w:hint="eastAsia"/>
                <w:sz w:val="28"/>
                <w:szCs w:val="36"/>
              </w:rPr>
              <w:fldChar w:fldCharType="separate"/>
            </w:r>
            <w:r w:rsidR="00A326DA">
              <w:rPr>
                <w:rFonts w:ascii="仿宋" w:eastAsia="仿宋" w:hAnsi="仿宋" w:cs="仿宋"/>
                <w:sz w:val="28"/>
                <w:szCs w:val="36"/>
              </w:rPr>
              <w:t>6</w:t>
            </w:r>
            <w:r>
              <w:rPr>
                <w:rFonts w:ascii="仿宋" w:eastAsia="仿宋" w:hAnsi="仿宋" w:cs="仿宋" w:hint="eastAsia"/>
                <w:sz w:val="28"/>
                <w:szCs w:val="36"/>
              </w:rPr>
              <w:fldChar w:fldCharType="end"/>
            </w:r>
          </w:hyperlink>
        </w:p>
        <w:p w:rsidR="00276BFD" w:rsidRDefault="00276BFD">
          <w:pPr>
            <w:pStyle w:val="10"/>
            <w:tabs>
              <w:tab w:val="right" w:leader="dot" w:pos="8306"/>
            </w:tabs>
            <w:rPr>
              <w:rFonts w:ascii="仿宋" w:eastAsia="仿宋" w:hAnsi="仿宋" w:cs="仿宋"/>
              <w:sz w:val="28"/>
              <w:szCs w:val="36"/>
            </w:rPr>
          </w:pPr>
          <w:hyperlink w:anchor="_Toc24438" w:history="1">
            <w:r w:rsidR="00A326DA">
              <w:rPr>
                <w:rFonts w:ascii="仿宋" w:eastAsia="仿宋" w:hAnsi="仿宋" w:cs="仿宋" w:hint="eastAsia"/>
                <w:sz w:val="28"/>
                <w:szCs w:val="36"/>
              </w:rPr>
              <w:t>四、预算管理情况分析</w:t>
            </w:r>
            <w:r w:rsidR="00A326DA">
              <w:rPr>
                <w:rFonts w:ascii="仿宋" w:eastAsia="仿宋" w:hAnsi="仿宋" w:cs="仿宋" w:hint="eastAsia"/>
                <w:sz w:val="28"/>
                <w:szCs w:val="36"/>
              </w:rPr>
              <w:tab/>
            </w:r>
            <w:r>
              <w:rPr>
                <w:rFonts w:ascii="仿宋" w:eastAsia="仿宋" w:hAnsi="仿宋" w:cs="仿宋" w:hint="eastAsia"/>
                <w:sz w:val="28"/>
                <w:szCs w:val="36"/>
              </w:rPr>
              <w:fldChar w:fldCharType="begin"/>
            </w:r>
            <w:r w:rsidR="00A326DA">
              <w:rPr>
                <w:rFonts w:ascii="仿宋" w:eastAsia="仿宋" w:hAnsi="仿宋" w:cs="仿宋" w:hint="eastAsia"/>
                <w:sz w:val="28"/>
                <w:szCs w:val="36"/>
              </w:rPr>
              <w:instrText xml:space="preserve"> PAGEREF _Toc24438 \h </w:instrText>
            </w:r>
            <w:r>
              <w:rPr>
                <w:rFonts w:ascii="仿宋" w:eastAsia="仿宋" w:hAnsi="仿宋" w:cs="仿宋" w:hint="eastAsia"/>
                <w:sz w:val="28"/>
                <w:szCs w:val="36"/>
              </w:rPr>
            </w:r>
            <w:r>
              <w:rPr>
                <w:rFonts w:ascii="仿宋" w:eastAsia="仿宋" w:hAnsi="仿宋" w:cs="仿宋" w:hint="eastAsia"/>
                <w:sz w:val="28"/>
                <w:szCs w:val="36"/>
              </w:rPr>
              <w:fldChar w:fldCharType="separate"/>
            </w:r>
            <w:r w:rsidR="00A326DA">
              <w:rPr>
                <w:rFonts w:ascii="仿宋" w:eastAsia="仿宋" w:hAnsi="仿宋" w:cs="仿宋"/>
                <w:sz w:val="28"/>
                <w:szCs w:val="36"/>
              </w:rPr>
              <w:t>12</w:t>
            </w:r>
            <w:r>
              <w:rPr>
                <w:rFonts w:ascii="仿宋" w:eastAsia="仿宋" w:hAnsi="仿宋" w:cs="仿宋" w:hint="eastAsia"/>
                <w:sz w:val="28"/>
                <w:szCs w:val="36"/>
              </w:rPr>
              <w:fldChar w:fldCharType="end"/>
            </w:r>
          </w:hyperlink>
        </w:p>
        <w:p w:rsidR="00276BFD" w:rsidRDefault="00276BFD">
          <w:pPr>
            <w:pStyle w:val="10"/>
            <w:tabs>
              <w:tab w:val="right" w:leader="dot" w:pos="8306"/>
            </w:tabs>
            <w:rPr>
              <w:rFonts w:ascii="仿宋" w:eastAsia="仿宋" w:hAnsi="仿宋" w:cs="仿宋"/>
              <w:sz w:val="28"/>
              <w:szCs w:val="36"/>
            </w:rPr>
          </w:pPr>
          <w:hyperlink w:anchor="_Toc28535" w:history="1">
            <w:r w:rsidR="00A326DA">
              <w:rPr>
                <w:rFonts w:ascii="仿宋" w:eastAsia="仿宋" w:hAnsi="仿宋" w:cs="仿宋" w:hint="eastAsia"/>
                <w:sz w:val="28"/>
                <w:szCs w:val="36"/>
              </w:rPr>
              <w:t>五、总体评价结论</w:t>
            </w:r>
            <w:r w:rsidR="00A326DA">
              <w:rPr>
                <w:rFonts w:ascii="仿宋" w:eastAsia="仿宋" w:hAnsi="仿宋" w:cs="仿宋" w:hint="eastAsia"/>
                <w:sz w:val="28"/>
                <w:szCs w:val="36"/>
              </w:rPr>
              <w:tab/>
            </w:r>
            <w:r>
              <w:rPr>
                <w:rFonts w:ascii="仿宋" w:eastAsia="仿宋" w:hAnsi="仿宋" w:cs="仿宋" w:hint="eastAsia"/>
                <w:sz w:val="28"/>
                <w:szCs w:val="36"/>
              </w:rPr>
              <w:fldChar w:fldCharType="begin"/>
            </w:r>
            <w:r w:rsidR="00A326DA">
              <w:rPr>
                <w:rFonts w:ascii="仿宋" w:eastAsia="仿宋" w:hAnsi="仿宋" w:cs="仿宋" w:hint="eastAsia"/>
                <w:sz w:val="28"/>
                <w:szCs w:val="36"/>
              </w:rPr>
              <w:instrText xml:space="preserve"> PAGEREF _Toc28535 \h </w:instrText>
            </w:r>
            <w:r>
              <w:rPr>
                <w:rFonts w:ascii="仿宋" w:eastAsia="仿宋" w:hAnsi="仿宋" w:cs="仿宋" w:hint="eastAsia"/>
                <w:sz w:val="28"/>
                <w:szCs w:val="36"/>
              </w:rPr>
            </w:r>
            <w:r>
              <w:rPr>
                <w:rFonts w:ascii="仿宋" w:eastAsia="仿宋" w:hAnsi="仿宋" w:cs="仿宋" w:hint="eastAsia"/>
                <w:sz w:val="28"/>
                <w:szCs w:val="36"/>
              </w:rPr>
              <w:fldChar w:fldCharType="separate"/>
            </w:r>
            <w:r w:rsidR="00A326DA">
              <w:rPr>
                <w:rFonts w:ascii="仿宋" w:eastAsia="仿宋" w:hAnsi="仿宋" w:cs="仿宋"/>
                <w:sz w:val="28"/>
                <w:szCs w:val="36"/>
              </w:rPr>
              <w:t>16</w:t>
            </w:r>
            <w:r>
              <w:rPr>
                <w:rFonts w:ascii="仿宋" w:eastAsia="仿宋" w:hAnsi="仿宋" w:cs="仿宋" w:hint="eastAsia"/>
                <w:sz w:val="28"/>
                <w:szCs w:val="36"/>
              </w:rPr>
              <w:fldChar w:fldCharType="end"/>
            </w:r>
          </w:hyperlink>
        </w:p>
        <w:p w:rsidR="00276BFD" w:rsidRDefault="00276BFD">
          <w:pPr>
            <w:pStyle w:val="10"/>
            <w:tabs>
              <w:tab w:val="right" w:leader="dot" w:pos="8306"/>
            </w:tabs>
            <w:rPr>
              <w:rFonts w:ascii="仿宋" w:eastAsia="仿宋" w:hAnsi="仿宋" w:cs="仿宋"/>
              <w:sz w:val="28"/>
              <w:szCs w:val="36"/>
            </w:rPr>
          </w:pPr>
          <w:hyperlink w:anchor="_Toc10439" w:history="1">
            <w:r w:rsidR="00A326DA">
              <w:rPr>
                <w:rFonts w:ascii="仿宋" w:eastAsia="仿宋" w:hAnsi="仿宋" w:cs="仿宋" w:hint="eastAsia"/>
                <w:sz w:val="28"/>
                <w:szCs w:val="36"/>
              </w:rPr>
              <w:t>六、措施建议</w:t>
            </w:r>
            <w:r w:rsidR="00A326DA">
              <w:rPr>
                <w:rFonts w:ascii="仿宋" w:eastAsia="仿宋" w:hAnsi="仿宋" w:cs="仿宋" w:hint="eastAsia"/>
                <w:sz w:val="28"/>
                <w:szCs w:val="36"/>
              </w:rPr>
              <w:tab/>
            </w:r>
            <w:r>
              <w:rPr>
                <w:rFonts w:ascii="仿宋" w:eastAsia="仿宋" w:hAnsi="仿宋" w:cs="仿宋" w:hint="eastAsia"/>
                <w:sz w:val="28"/>
                <w:szCs w:val="36"/>
              </w:rPr>
              <w:fldChar w:fldCharType="begin"/>
            </w:r>
            <w:r w:rsidR="00A326DA">
              <w:rPr>
                <w:rFonts w:ascii="仿宋" w:eastAsia="仿宋" w:hAnsi="仿宋" w:cs="仿宋" w:hint="eastAsia"/>
                <w:sz w:val="28"/>
                <w:szCs w:val="36"/>
              </w:rPr>
              <w:instrText xml:space="preserve"> PAGEREF _Toc10439 \h </w:instrText>
            </w:r>
            <w:r>
              <w:rPr>
                <w:rFonts w:ascii="仿宋" w:eastAsia="仿宋" w:hAnsi="仿宋" w:cs="仿宋" w:hint="eastAsia"/>
                <w:sz w:val="28"/>
                <w:szCs w:val="36"/>
              </w:rPr>
            </w:r>
            <w:r>
              <w:rPr>
                <w:rFonts w:ascii="仿宋" w:eastAsia="仿宋" w:hAnsi="仿宋" w:cs="仿宋" w:hint="eastAsia"/>
                <w:sz w:val="28"/>
                <w:szCs w:val="36"/>
              </w:rPr>
              <w:fldChar w:fldCharType="separate"/>
            </w:r>
            <w:r w:rsidR="00A326DA">
              <w:rPr>
                <w:rFonts w:ascii="仿宋" w:eastAsia="仿宋" w:hAnsi="仿宋" w:cs="仿宋"/>
                <w:sz w:val="28"/>
                <w:szCs w:val="36"/>
              </w:rPr>
              <w:t>17</w:t>
            </w:r>
            <w:r>
              <w:rPr>
                <w:rFonts w:ascii="仿宋" w:eastAsia="仿宋" w:hAnsi="仿宋" w:cs="仿宋" w:hint="eastAsia"/>
                <w:sz w:val="28"/>
                <w:szCs w:val="36"/>
              </w:rPr>
              <w:fldChar w:fldCharType="end"/>
            </w:r>
          </w:hyperlink>
        </w:p>
        <w:p w:rsidR="00276BFD" w:rsidRDefault="00276BFD">
          <w:pPr>
            <w:pStyle w:val="10"/>
            <w:tabs>
              <w:tab w:val="right" w:leader="dot" w:pos="8306"/>
            </w:tabs>
          </w:pPr>
          <w:hyperlink w:anchor="_Toc25680" w:history="1">
            <w:r w:rsidR="00A326DA">
              <w:rPr>
                <w:rFonts w:ascii="仿宋" w:eastAsia="仿宋" w:hAnsi="仿宋" w:cs="仿宋" w:hint="eastAsia"/>
                <w:kern w:val="0"/>
                <w:sz w:val="28"/>
                <w:szCs w:val="44"/>
              </w:rPr>
              <w:t>附件：</w:t>
            </w:r>
            <w:r w:rsidR="00A326DA">
              <w:rPr>
                <w:rFonts w:ascii="仿宋" w:eastAsia="仿宋" w:hAnsi="仿宋" w:cs="仿宋" w:hint="eastAsia"/>
                <w:kern w:val="0"/>
                <w:sz w:val="28"/>
                <w:szCs w:val="44"/>
              </w:rPr>
              <w:t>2023</w:t>
            </w:r>
            <w:r w:rsidR="00A326DA">
              <w:rPr>
                <w:rFonts w:ascii="仿宋" w:eastAsia="仿宋" w:hAnsi="仿宋" w:cs="仿宋" w:hint="eastAsia"/>
                <w:kern w:val="0"/>
                <w:sz w:val="28"/>
                <w:szCs w:val="44"/>
              </w:rPr>
              <w:t>年部门整体绩效评价指标体系评分表</w:t>
            </w:r>
            <w:r w:rsidR="00A326DA">
              <w:rPr>
                <w:rFonts w:ascii="仿宋" w:eastAsia="仿宋" w:hAnsi="仿宋" w:cs="仿宋" w:hint="eastAsia"/>
                <w:sz w:val="28"/>
                <w:szCs w:val="36"/>
              </w:rPr>
              <w:tab/>
            </w:r>
            <w:r>
              <w:rPr>
                <w:rFonts w:ascii="仿宋" w:eastAsia="仿宋" w:hAnsi="仿宋" w:cs="仿宋" w:hint="eastAsia"/>
                <w:sz w:val="28"/>
                <w:szCs w:val="36"/>
              </w:rPr>
              <w:fldChar w:fldCharType="begin"/>
            </w:r>
            <w:r w:rsidR="00A326DA">
              <w:rPr>
                <w:rFonts w:ascii="仿宋" w:eastAsia="仿宋" w:hAnsi="仿宋" w:cs="仿宋" w:hint="eastAsia"/>
                <w:sz w:val="28"/>
                <w:szCs w:val="36"/>
              </w:rPr>
              <w:instrText xml:space="preserve"> PAGEREF _Toc25680 \h </w:instrText>
            </w:r>
            <w:r>
              <w:rPr>
                <w:rFonts w:ascii="仿宋" w:eastAsia="仿宋" w:hAnsi="仿宋" w:cs="仿宋" w:hint="eastAsia"/>
                <w:sz w:val="28"/>
                <w:szCs w:val="36"/>
              </w:rPr>
            </w:r>
            <w:r>
              <w:rPr>
                <w:rFonts w:ascii="仿宋" w:eastAsia="仿宋" w:hAnsi="仿宋" w:cs="仿宋" w:hint="eastAsia"/>
                <w:sz w:val="28"/>
                <w:szCs w:val="36"/>
              </w:rPr>
              <w:fldChar w:fldCharType="separate"/>
            </w:r>
            <w:r w:rsidR="00A326DA">
              <w:rPr>
                <w:rFonts w:ascii="仿宋" w:eastAsia="仿宋" w:hAnsi="仿宋" w:cs="仿宋"/>
                <w:sz w:val="28"/>
                <w:szCs w:val="36"/>
              </w:rPr>
              <w:t>18</w:t>
            </w:r>
            <w:r>
              <w:rPr>
                <w:rFonts w:ascii="仿宋" w:eastAsia="仿宋" w:hAnsi="仿宋" w:cs="仿宋" w:hint="eastAsia"/>
                <w:sz w:val="28"/>
                <w:szCs w:val="36"/>
              </w:rPr>
              <w:fldChar w:fldCharType="end"/>
            </w:r>
          </w:hyperlink>
        </w:p>
        <w:p w:rsidR="00276BFD" w:rsidRDefault="00276BFD">
          <w:pPr>
            <w:sectPr w:rsidR="00276BFD">
              <w:footerReference w:type="default" r:id="rId9"/>
              <w:pgSz w:w="11906" w:h="16838"/>
              <w:pgMar w:top="1440" w:right="1800" w:bottom="1440" w:left="1800" w:header="851" w:footer="992" w:gutter="0"/>
              <w:pgNumType w:start="1"/>
              <w:cols w:space="425"/>
              <w:docGrid w:type="lines" w:linePitch="312"/>
            </w:sectPr>
          </w:pPr>
          <w:r>
            <w:rPr>
              <w:rFonts w:hint="eastAsia"/>
            </w:rPr>
            <w:fldChar w:fldCharType="end"/>
          </w:r>
        </w:p>
      </w:sdtContent>
    </w:sdt>
    <w:p w:rsidR="00276BFD" w:rsidRDefault="00276BFD">
      <w:pPr>
        <w:pStyle w:val="a9"/>
      </w:pPr>
    </w:p>
    <w:p w:rsidR="00276BFD" w:rsidRDefault="00A326DA">
      <w:pPr>
        <w:jc w:val="center"/>
        <w:rPr>
          <w:b/>
          <w:bCs/>
          <w:sz w:val="40"/>
          <w:szCs w:val="48"/>
        </w:rPr>
      </w:pPr>
      <w:r>
        <w:rPr>
          <w:rFonts w:hint="eastAsia"/>
          <w:b/>
          <w:bCs/>
          <w:sz w:val="40"/>
          <w:szCs w:val="48"/>
        </w:rPr>
        <w:t>国家大剧院</w:t>
      </w:r>
    </w:p>
    <w:p w:rsidR="00276BFD" w:rsidRDefault="00A326DA">
      <w:pPr>
        <w:jc w:val="center"/>
        <w:rPr>
          <w:b/>
          <w:bCs/>
          <w:sz w:val="40"/>
          <w:szCs w:val="48"/>
        </w:rPr>
      </w:pPr>
      <w:r>
        <w:rPr>
          <w:rFonts w:hint="eastAsia"/>
          <w:b/>
          <w:bCs/>
          <w:sz w:val="40"/>
          <w:szCs w:val="48"/>
        </w:rPr>
        <w:t>2023</w:t>
      </w:r>
      <w:r>
        <w:rPr>
          <w:rFonts w:hint="eastAsia"/>
          <w:b/>
          <w:bCs/>
          <w:sz w:val="40"/>
          <w:szCs w:val="48"/>
        </w:rPr>
        <w:t>年部门整体绩效评价报告</w:t>
      </w:r>
    </w:p>
    <w:p w:rsidR="00276BFD" w:rsidRDefault="00276BFD">
      <w:pPr>
        <w:snapToGrid w:val="0"/>
        <w:spacing w:line="360" w:lineRule="auto"/>
        <w:ind w:firstLineChars="200" w:firstLine="640"/>
        <w:rPr>
          <w:rFonts w:ascii="仿宋_GB2312" w:eastAsia="仿宋_GB2312"/>
          <w:sz w:val="32"/>
        </w:rPr>
      </w:pP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为进一步加强预算绩效管理工作，提高财政预算支出管理水平，根据《北京市项目支出绩效评价管理办法》（京财绩效〔</w:t>
      </w:r>
      <w:r>
        <w:rPr>
          <w:rFonts w:ascii="仿宋_GB2312" w:eastAsia="仿宋_GB2312" w:hAnsi="宋体" w:cs="宋体" w:hint="eastAsia"/>
          <w:color w:val="000000"/>
          <w:kern w:val="0"/>
          <w:sz w:val="32"/>
          <w:szCs w:val="32"/>
        </w:rPr>
        <w:t>2020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2146</w:t>
      </w:r>
      <w:r>
        <w:rPr>
          <w:rFonts w:ascii="仿宋_GB2312" w:eastAsia="仿宋_GB2312" w:hAnsi="宋体" w:cs="宋体" w:hint="eastAsia"/>
          <w:color w:val="000000"/>
          <w:kern w:val="0"/>
          <w:sz w:val="32"/>
          <w:szCs w:val="32"/>
        </w:rPr>
        <w:t>号）及《北京市财政局关于</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年预算绩效管理相关工作的函》文件的有关要求，国家大剧院组织成立了绩效评价工作组，对本单位</w:t>
      </w: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年度部门</w:t>
      </w:r>
      <w:r>
        <w:rPr>
          <w:rFonts w:ascii="仿宋_GB2312" w:eastAsia="仿宋_GB2312" w:hAnsi="仿宋_GB2312" w:cs="仿宋_GB2312" w:hint="eastAsia"/>
          <w:sz w:val="32"/>
          <w:szCs w:val="32"/>
        </w:rPr>
        <w:t>整体预算执行、整体绩效目标实现和预算管理情况</w:t>
      </w:r>
      <w:r>
        <w:rPr>
          <w:rFonts w:ascii="仿宋_GB2312" w:eastAsia="仿宋_GB2312" w:hAnsi="宋体" w:cs="宋体" w:hint="eastAsia"/>
          <w:color w:val="000000"/>
          <w:kern w:val="0"/>
          <w:sz w:val="32"/>
          <w:szCs w:val="32"/>
        </w:rPr>
        <w:t>开展绩效评价，形成本绩效评价报告。</w:t>
      </w:r>
    </w:p>
    <w:p w:rsidR="00276BFD" w:rsidRDefault="00A326DA">
      <w:pPr>
        <w:pStyle w:val="1"/>
        <w:ind w:firstLine="643"/>
      </w:pPr>
      <w:bookmarkStart w:id="0" w:name="_Toc415"/>
      <w:r>
        <w:rPr>
          <w:rFonts w:hint="eastAsia"/>
        </w:rPr>
        <w:t>一、部门概况</w:t>
      </w:r>
      <w:bookmarkEnd w:id="0"/>
    </w:p>
    <w:p w:rsidR="00276BFD" w:rsidRDefault="00A326DA">
      <w:pPr>
        <w:pStyle w:val="20"/>
        <w:ind w:firstLine="643"/>
      </w:pPr>
      <w:r>
        <w:rPr>
          <w:rFonts w:hint="eastAsia"/>
        </w:rPr>
        <w:t>（一）机构设置及职责工作任务情况</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国家大剧院是依据北京市机构编制委员会办公室《关于国家大剧院机构编制有关问题的函》（京编办事</w:t>
      </w:r>
      <w:r>
        <w:rPr>
          <w:rFonts w:ascii="仿宋_GB2312" w:eastAsia="仿宋_GB2312" w:hAnsi="宋体" w:cs="宋体" w:hint="eastAsia"/>
          <w:color w:val="000000"/>
          <w:kern w:val="0"/>
          <w:sz w:val="32"/>
          <w:szCs w:val="32"/>
        </w:rPr>
        <w:t>[2007]41</w:t>
      </w:r>
      <w:r>
        <w:rPr>
          <w:rFonts w:ascii="仿宋_GB2312" w:eastAsia="仿宋_GB2312" w:hAnsi="宋体" w:cs="宋体" w:hint="eastAsia"/>
          <w:color w:val="000000"/>
          <w:kern w:val="0"/>
          <w:sz w:val="32"/>
          <w:szCs w:val="32"/>
        </w:rPr>
        <w:t>号）成立的市属正</w:t>
      </w:r>
      <w:r>
        <w:rPr>
          <w:rFonts w:ascii="仿宋_GB2312" w:eastAsia="仿宋_GB2312" w:hAnsi="宋体" w:cs="宋体" w:hint="eastAsia"/>
          <w:color w:val="000000"/>
          <w:kern w:val="0"/>
          <w:sz w:val="32"/>
          <w:szCs w:val="32"/>
        </w:rPr>
        <w:t>局级事业单位，</w:t>
      </w:r>
      <w:r>
        <w:rPr>
          <w:rFonts w:ascii="仿宋_GB2312" w:eastAsia="仿宋_GB2312" w:hint="eastAsia"/>
          <w:color w:val="000000"/>
          <w:sz w:val="32"/>
          <w:szCs w:val="32"/>
        </w:rPr>
        <w:t>主要包括核心艺术产品部门、艺术衍生产品部门、综合管理部门和运行保障部门共</w:t>
      </w:r>
      <w:r>
        <w:rPr>
          <w:rFonts w:ascii="仿宋_GB2312" w:eastAsia="仿宋_GB2312" w:hint="eastAsia"/>
          <w:color w:val="000000"/>
          <w:sz w:val="32"/>
          <w:szCs w:val="32"/>
        </w:rPr>
        <w:t>25</w:t>
      </w:r>
      <w:r>
        <w:rPr>
          <w:rFonts w:ascii="仿宋_GB2312" w:eastAsia="仿宋_GB2312" w:hint="eastAsia"/>
          <w:color w:val="000000"/>
          <w:sz w:val="32"/>
          <w:szCs w:val="32"/>
        </w:rPr>
        <w:t>个部（室、中心）</w:t>
      </w:r>
      <w:r>
        <w:rPr>
          <w:rFonts w:ascii="仿宋_GB2312" w:eastAsia="仿宋_GB2312" w:hAnsi="宋体" w:cs="宋体" w:hint="eastAsia"/>
          <w:color w:val="000000"/>
          <w:kern w:val="0"/>
          <w:sz w:val="32"/>
          <w:szCs w:val="32"/>
        </w:rPr>
        <w:t>，主要职责工作任务是：</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坚持打造表演艺术中心平台</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作为中国最高表演艺术中心，大剧院将秉承“人民性、艺术性、国际性”的宗旨，以“艺术改变生活”为核心价值理念，以“信守诚信、双赢、持久”的经营原则，打造亲民、为民、惠民的艺术殿堂。</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2.</w:t>
      </w:r>
      <w:r>
        <w:rPr>
          <w:rFonts w:ascii="仿宋_GB2312" w:eastAsia="仿宋_GB2312" w:hAnsi="宋体" w:cs="宋体" w:hint="eastAsia"/>
          <w:color w:val="000000"/>
          <w:kern w:val="0"/>
          <w:sz w:val="32"/>
          <w:szCs w:val="32"/>
        </w:rPr>
        <w:t>坚持打造主题原创艺术平台</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以“崇尚高品味、高水准的高雅艺术和民族艺术”为理念，负责统筹组织并安排国内外精品艺术剧目演出、包括大剧院原创剧目创作和新制作剧目的生产、复排及演</w:t>
      </w:r>
      <w:r>
        <w:rPr>
          <w:rFonts w:ascii="仿宋_GB2312" w:eastAsia="仿宋_GB2312" w:hAnsi="宋体" w:cs="宋体" w:hint="eastAsia"/>
          <w:color w:val="000000"/>
          <w:kern w:val="0"/>
          <w:sz w:val="32"/>
          <w:szCs w:val="32"/>
        </w:rPr>
        <w:t>出（巡演）等工作，坚持用艺术和市场的双重标准规范所经营的产品和出品的剧目。</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坚持打造艺术普及教育平台</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引领艺术普及教育，打造“周末音乐会”、“经典艺术讲堂”、“春华秋实”等艺术普及教育品牌，负责策划各项公益活动，用公益回馈社会，用艺术反哺城市。</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坚持打造综合艺术展示平台</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加强品牌传播效益，持续推进剧院空间环境升级改造，有力营造了高雅艺术殿堂的浓厚氛围。全年不断推出精品展览，为游客和观众提供更加丰富的艺术体验。举办“国际歌剧电影展”“歌剧电影进校园”“</w:t>
      </w:r>
      <w:r>
        <w:rPr>
          <w:rFonts w:ascii="仿宋_GB2312" w:eastAsia="仿宋_GB2312" w:hAnsi="宋体" w:cs="宋体" w:hint="eastAsia"/>
          <w:color w:val="000000"/>
          <w:kern w:val="0"/>
          <w:sz w:val="32"/>
          <w:szCs w:val="32"/>
        </w:rPr>
        <w:t>8K</w:t>
      </w:r>
      <w:r>
        <w:rPr>
          <w:rFonts w:ascii="仿宋_GB2312" w:eastAsia="仿宋_GB2312" w:hAnsi="宋体" w:cs="宋体" w:hint="eastAsia"/>
          <w:color w:val="000000"/>
          <w:kern w:val="0"/>
          <w:sz w:val="32"/>
          <w:szCs w:val="32"/>
        </w:rPr>
        <w:t>舞台艺术影像展”等品牌活动，让更多人接触艺术、爱上艺术。</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坚持打造文化交流合作平台</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坚持“引领、传承、创新、开放、包容”的原则，传播中外优秀艺术文化精品，与多个国家及艺术机构进行文化交流，建立合作关系，推动“人类命运共同体”理念，共建世界剧院命运共同体。</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坚持打造数字文化传播平台</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努力打造“线上线下融合、演出演播并举</w:t>
      </w:r>
      <w:r>
        <w:rPr>
          <w:rFonts w:ascii="仿宋_GB2312" w:eastAsia="仿宋_GB2312" w:hAnsi="宋体" w:cs="宋体" w:hint="eastAsia"/>
          <w:color w:val="000000"/>
          <w:kern w:val="0"/>
          <w:sz w:val="32"/>
          <w:szCs w:val="32"/>
        </w:rPr>
        <w:t>”的演出新业态，积极推动“艺术</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科技”的深入融合，运用各项科技创新成果打造智慧剧院，不断增强剧院的艺术表现力和核心竞争力。</w:t>
      </w:r>
    </w:p>
    <w:p w:rsidR="00276BFD" w:rsidRDefault="00A326DA">
      <w:pPr>
        <w:pStyle w:val="20"/>
        <w:ind w:firstLine="643"/>
      </w:pPr>
      <w:r>
        <w:rPr>
          <w:rFonts w:hint="eastAsia"/>
        </w:rPr>
        <w:t>（二）部门整体绩效目标设立情况</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总体目标的设定情况</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作为中国最高表演艺术中心，国家大剧院将秉承人民性、艺术性、国际性的宗旨，以“艺术改变生活”为核心价值理念，努力成为国际知名剧院的重要成员；国家表演艺术的最高殿堂；艺术教育普及的引领者；中外文化交流的最大平台；文化创意产业的重要基地。</w:t>
      </w: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年，北京艺术中心作为国家大剧院“一院三址”的重要一极，将协助大剧院继续发挥表演艺术平台、原创艺术平台、综合艺术展示平台、艺术普及教育平台，国际文化交流平台和数字文化平台等六大平台的作用。</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具体目标的设定情况</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）产出指标数量指标</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：舞台艺术电影后期制作数量≥</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部；</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：录制舞台艺术电影数量≥</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部；</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：新制作剧目产品</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自制剧目复排数量≥</w:t>
      </w:r>
      <w:r>
        <w:rPr>
          <w:rFonts w:ascii="仿宋_GB2312" w:eastAsia="仿宋_GB2312" w:hAnsi="宋体" w:cs="宋体" w:hint="eastAsia"/>
          <w:color w:val="000000"/>
          <w:kern w:val="0"/>
          <w:sz w:val="32"/>
          <w:szCs w:val="32"/>
        </w:rPr>
        <w:t>19</w:t>
      </w:r>
      <w:r>
        <w:rPr>
          <w:rFonts w:ascii="仿宋_GB2312" w:eastAsia="仿宋_GB2312" w:hAnsi="宋体" w:cs="宋体" w:hint="eastAsia"/>
          <w:color w:val="000000"/>
          <w:kern w:val="0"/>
          <w:sz w:val="32"/>
          <w:szCs w:val="32"/>
        </w:rPr>
        <w:t>部；</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：组织</w:t>
      </w: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国家大剧院国际歌剧电影展，舞台艺术电影常态化放映等展映推广活动≥</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次；</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指标</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：开展国际文化交流活动次数≥</w:t>
      </w:r>
      <w:r>
        <w:rPr>
          <w:rFonts w:ascii="仿宋_GB2312" w:eastAsia="仿宋_GB2312" w:hAnsi="宋体" w:cs="宋体" w:hint="eastAsia"/>
          <w:color w:val="000000"/>
          <w:kern w:val="0"/>
          <w:sz w:val="32"/>
          <w:szCs w:val="32"/>
        </w:rPr>
        <w:t>70</w:t>
      </w:r>
      <w:r>
        <w:rPr>
          <w:rFonts w:ascii="仿宋_GB2312" w:eastAsia="仿宋_GB2312" w:hAnsi="宋体" w:cs="宋体" w:hint="eastAsia"/>
          <w:color w:val="000000"/>
          <w:kern w:val="0"/>
          <w:sz w:val="32"/>
          <w:szCs w:val="32"/>
        </w:rPr>
        <w:t>次；</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：艺术普及教育活动开展数量≥</w:t>
      </w:r>
      <w:r>
        <w:rPr>
          <w:rFonts w:ascii="仿宋_GB2312" w:eastAsia="仿宋_GB2312" w:hAnsi="宋体" w:cs="宋体" w:hint="eastAsia"/>
          <w:color w:val="000000"/>
          <w:kern w:val="0"/>
          <w:sz w:val="32"/>
          <w:szCs w:val="32"/>
        </w:rPr>
        <w:t>680</w:t>
      </w:r>
      <w:r>
        <w:rPr>
          <w:rFonts w:ascii="仿宋_GB2312" w:eastAsia="仿宋_GB2312" w:hAnsi="宋体" w:cs="宋体" w:hint="eastAsia"/>
          <w:color w:val="000000"/>
          <w:kern w:val="0"/>
          <w:sz w:val="32"/>
          <w:szCs w:val="32"/>
        </w:rPr>
        <w:t>场；</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：管弦巡演场次≥</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场；</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：新制作剧目产品</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自制剧目复排演出数量≥</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场</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：全年引进商业类演出数量≥</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场；</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：北京艺术中心试运营</w:t>
      </w:r>
      <w:r>
        <w:rPr>
          <w:rFonts w:ascii="仿宋_GB2312" w:eastAsia="仿宋_GB2312" w:hAnsi="宋体" w:cs="宋体" w:hint="eastAsia"/>
          <w:color w:val="000000"/>
          <w:kern w:val="0"/>
          <w:sz w:val="32"/>
          <w:szCs w:val="32"/>
        </w:rPr>
        <w:t>外邀</w:t>
      </w:r>
      <w:r>
        <w:rPr>
          <w:rFonts w:ascii="仿宋_GB2312" w:eastAsia="仿宋_GB2312" w:hAnsi="宋体" w:cs="宋体" w:hint="eastAsia"/>
          <w:color w:val="000000"/>
          <w:kern w:val="0"/>
          <w:sz w:val="32"/>
          <w:szCs w:val="32"/>
        </w:rPr>
        <w:t>演出数量≥</w:t>
      </w:r>
      <w:r>
        <w:rPr>
          <w:rFonts w:ascii="仿宋_GB2312" w:eastAsia="仿宋_GB2312" w:hAnsi="宋体" w:cs="宋体" w:hint="eastAsia"/>
          <w:color w:val="000000"/>
          <w:kern w:val="0"/>
          <w:sz w:val="32"/>
          <w:szCs w:val="32"/>
        </w:rPr>
        <w:t>24</w:t>
      </w:r>
      <w:r>
        <w:rPr>
          <w:rFonts w:ascii="仿宋_GB2312" w:eastAsia="仿宋_GB2312" w:hAnsi="宋体" w:cs="宋体" w:hint="eastAsia"/>
          <w:color w:val="000000"/>
          <w:kern w:val="0"/>
          <w:sz w:val="32"/>
          <w:szCs w:val="32"/>
        </w:rPr>
        <w:t>场</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11</w:t>
      </w:r>
      <w:r>
        <w:rPr>
          <w:rFonts w:ascii="仿宋_GB2312" w:eastAsia="仿宋_GB2312" w:hAnsi="宋体" w:cs="宋体" w:hint="eastAsia"/>
          <w:color w:val="000000"/>
          <w:kern w:val="0"/>
          <w:sz w:val="32"/>
          <w:szCs w:val="32"/>
        </w:rPr>
        <w:t>：多种宣传渠道，宣传国家大剧院，介绍推广高雅艺术</w:t>
      </w:r>
      <w:r>
        <w:rPr>
          <w:rFonts w:ascii="仿宋_GB2312" w:eastAsia="仿宋_GB2312" w:hAnsi="宋体" w:cs="宋体" w:hint="eastAsia"/>
          <w:color w:val="000000"/>
          <w:kern w:val="0"/>
          <w:sz w:val="32"/>
          <w:szCs w:val="32"/>
        </w:rPr>
        <w:t>，普及艺术知识、提升民众艺术素养≥</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种；</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12</w:t>
      </w:r>
      <w:r>
        <w:rPr>
          <w:rFonts w:ascii="仿宋_GB2312" w:eastAsia="仿宋_GB2312" w:hAnsi="宋体" w:cs="宋体" w:hint="eastAsia"/>
          <w:color w:val="000000"/>
          <w:kern w:val="0"/>
          <w:sz w:val="32"/>
          <w:szCs w:val="32"/>
        </w:rPr>
        <w:t>：新制作剧目产品</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自制剧目复排演出吸引观众人数≥</w:t>
      </w:r>
      <w:r>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万人次。</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）产出指标质量指标</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：以歌、舞、剧、戏等艺术形式呈现经典作品，并在艺术质量上达到国内一流水准，满足中国观众对高雅艺术的欣赏要求及审美要求；</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：全年演出及各项活动无事故。</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）产出指标时效指标</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各项工作按照</w:t>
      </w: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年工作进度及绩效目标申报及合同、协议约定的时间进度实施，针对单位基本支出及自主实施的项目，项目进度应与预算进度相匹配。</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）产出指标成本指标</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依法、依规、依程序使用财政资金，保证资金使用安全，</w:t>
      </w:r>
      <w:r>
        <w:rPr>
          <w:rFonts w:ascii="仿宋_GB2312" w:eastAsia="仿宋_GB2312" w:hAnsi="宋体" w:cs="宋体" w:hint="eastAsia"/>
          <w:color w:val="000000"/>
          <w:kern w:val="0"/>
          <w:sz w:val="32"/>
          <w:szCs w:val="32"/>
        </w:rPr>
        <w:lastRenderedPageBreak/>
        <w:t>部门整体支出成本控制在预算范围内，并采取措施节约财政资金。以既定预算发挥其最大的作用，尽可能实现财政资金使用效益最大化。</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）效益指标社会效益指标</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通过召开新闻发布会，组织媒体采访，多轮次作品宣传，创造和谐的艺术氛围和社会环境，全面引导和提升国民的文化素质</w:t>
      </w:r>
      <w:r>
        <w:rPr>
          <w:rFonts w:ascii="仿宋_GB2312" w:eastAsia="仿宋_GB2312" w:hAnsi="宋体" w:cs="宋体" w:hint="eastAsia"/>
          <w:color w:val="000000"/>
          <w:kern w:val="0"/>
          <w:sz w:val="32"/>
          <w:szCs w:val="32"/>
        </w:rPr>
        <w:t>；</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：通过经典作品的展现</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扩大高雅艺术的传播人群</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使观众走近高雅艺术，了解高雅艺术、喜爱高雅艺术。</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）效益指标生态效益指标</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强化环保管理，节能降耗，通过科学的升级改造，逐年提高节能环保产品的使用比例，减少能耗和污染。</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）效益指标可持续影响指标</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加强国际艺术交流，将</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走出去</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与</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引进来</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相结合，扩大中国艺术的国际影响，传播中国优秀文化，为外交活动开展搭建平台</w:t>
      </w:r>
      <w:r>
        <w:rPr>
          <w:rFonts w:ascii="仿宋_GB2312" w:eastAsia="仿宋_GB2312" w:hAnsi="宋体" w:cs="宋体" w:hint="eastAsia"/>
          <w:color w:val="000000"/>
          <w:kern w:val="0"/>
          <w:sz w:val="32"/>
          <w:szCs w:val="32"/>
        </w:rPr>
        <w:t>。</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8</w:t>
      </w:r>
      <w:r>
        <w:rPr>
          <w:rFonts w:ascii="仿宋_GB2312" w:eastAsia="仿宋_GB2312" w:hAnsi="宋体" w:cs="宋体" w:hint="eastAsia"/>
          <w:color w:val="000000"/>
          <w:kern w:val="0"/>
          <w:sz w:val="32"/>
          <w:szCs w:val="32"/>
        </w:rPr>
        <w:t>）满意度指标服务对象满意度指标</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：观众对艺术教育活动满意度≥</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：观众对演出满意度≥</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指标</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：观众对剧场服务满意度≥</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目标与职责任务匹配合理性</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项目标值设定基本涵盖了我院</w:t>
      </w: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年重点工作及重点</w:t>
      </w:r>
      <w:r>
        <w:rPr>
          <w:rFonts w:ascii="仿宋_GB2312" w:eastAsia="仿宋_GB2312" w:hAnsi="宋体" w:cs="宋体" w:hint="eastAsia"/>
          <w:color w:val="000000"/>
          <w:kern w:val="0"/>
          <w:sz w:val="32"/>
          <w:szCs w:val="32"/>
        </w:rPr>
        <w:lastRenderedPageBreak/>
        <w:t>项目，体现了我院各项职能，目标与职</w:t>
      </w:r>
      <w:r>
        <w:rPr>
          <w:rFonts w:ascii="仿宋_GB2312" w:eastAsia="仿宋_GB2312" w:hAnsi="宋体" w:cs="宋体" w:hint="eastAsia"/>
          <w:color w:val="000000"/>
          <w:kern w:val="0"/>
          <w:sz w:val="32"/>
          <w:szCs w:val="32"/>
        </w:rPr>
        <w:t>责任务相匹配，指标设定基本合理。</w:t>
      </w:r>
    </w:p>
    <w:p w:rsidR="00276BFD" w:rsidRDefault="00A326DA">
      <w:pPr>
        <w:pStyle w:val="1"/>
        <w:ind w:firstLine="643"/>
      </w:pPr>
      <w:bookmarkStart w:id="1" w:name="_Toc8749"/>
      <w:r>
        <w:rPr>
          <w:rFonts w:hint="eastAsia"/>
        </w:rPr>
        <w:t>二</w:t>
      </w:r>
      <w:r>
        <w:t>、</w:t>
      </w:r>
      <w:r>
        <w:rPr>
          <w:rFonts w:hint="eastAsia"/>
        </w:rPr>
        <w:t>当年</w:t>
      </w:r>
      <w:r>
        <w:t>预算执行情况</w:t>
      </w:r>
      <w:bookmarkEnd w:id="1"/>
    </w:p>
    <w:p w:rsidR="00276BFD" w:rsidRDefault="00A326DA">
      <w:pPr>
        <w:spacing w:line="360" w:lineRule="auto"/>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2023</w:t>
      </w:r>
      <w:r>
        <w:rPr>
          <w:rFonts w:ascii="仿宋_GB2312" w:eastAsia="仿宋_GB2312" w:hAnsi="宋体" w:cs="宋体" w:hint="eastAsia"/>
          <w:color w:val="000000" w:themeColor="text1"/>
          <w:kern w:val="0"/>
          <w:sz w:val="32"/>
          <w:szCs w:val="32"/>
        </w:rPr>
        <w:t>年全年预算数</w:t>
      </w:r>
      <w:r>
        <w:rPr>
          <w:rFonts w:ascii="仿宋_GB2312" w:eastAsia="仿宋_GB2312" w:hAnsi="宋体" w:cs="宋体" w:hint="eastAsia"/>
          <w:color w:val="000000" w:themeColor="text1"/>
          <w:kern w:val="0"/>
          <w:sz w:val="32"/>
          <w:szCs w:val="32"/>
        </w:rPr>
        <w:t>115,230.34</w:t>
      </w:r>
      <w:r>
        <w:rPr>
          <w:rFonts w:ascii="仿宋_GB2312" w:eastAsia="仿宋_GB2312" w:hAnsi="宋体" w:cs="宋体" w:hint="eastAsia"/>
          <w:color w:val="000000" w:themeColor="text1"/>
          <w:kern w:val="0"/>
          <w:sz w:val="32"/>
          <w:szCs w:val="32"/>
        </w:rPr>
        <w:t>万元，其中，基本支出预算数</w:t>
      </w:r>
      <w:r>
        <w:rPr>
          <w:rFonts w:ascii="仿宋_GB2312" w:eastAsia="仿宋_GB2312" w:hAnsi="宋体" w:cs="宋体" w:hint="eastAsia"/>
          <w:color w:val="000000" w:themeColor="text1"/>
          <w:kern w:val="0"/>
          <w:sz w:val="32"/>
          <w:szCs w:val="32"/>
        </w:rPr>
        <w:t>39,481.80</w:t>
      </w:r>
      <w:r>
        <w:rPr>
          <w:rFonts w:ascii="仿宋_GB2312" w:eastAsia="仿宋_GB2312" w:hAnsi="宋体" w:cs="宋体" w:hint="eastAsia"/>
          <w:color w:val="000000" w:themeColor="text1"/>
          <w:kern w:val="0"/>
          <w:sz w:val="32"/>
          <w:szCs w:val="32"/>
        </w:rPr>
        <w:t>万元，项目支出预算数</w:t>
      </w:r>
      <w:r>
        <w:rPr>
          <w:rFonts w:ascii="仿宋_GB2312" w:eastAsia="仿宋_GB2312" w:hAnsi="宋体" w:cs="宋体" w:hint="eastAsia"/>
          <w:color w:val="000000" w:themeColor="text1"/>
          <w:kern w:val="0"/>
          <w:sz w:val="32"/>
          <w:szCs w:val="32"/>
        </w:rPr>
        <w:t>75,748.54</w:t>
      </w:r>
      <w:r>
        <w:rPr>
          <w:rFonts w:ascii="仿宋_GB2312" w:eastAsia="仿宋_GB2312" w:hAnsi="宋体" w:cs="宋体" w:hint="eastAsia"/>
          <w:color w:val="000000" w:themeColor="text1"/>
          <w:kern w:val="0"/>
          <w:sz w:val="32"/>
          <w:szCs w:val="32"/>
        </w:rPr>
        <w:t>万元，其他支出预算数</w:t>
      </w:r>
      <w:r>
        <w:rPr>
          <w:rFonts w:ascii="仿宋_GB2312" w:eastAsia="仿宋_GB2312" w:hAnsi="宋体" w:cs="宋体" w:hint="eastAsia"/>
          <w:color w:val="000000" w:themeColor="text1"/>
          <w:kern w:val="0"/>
          <w:sz w:val="32"/>
          <w:szCs w:val="32"/>
        </w:rPr>
        <w:t>0</w:t>
      </w:r>
      <w:r>
        <w:rPr>
          <w:rFonts w:ascii="仿宋_GB2312" w:eastAsia="仿宋_GB2312" w:hAnsi="宋体" w:cs="宋体" w:hint="eastAsia"/>
          <w:color w:val="000000" w:themeColor="text1"/>
          <w:kern w:val="0"/>
          <w:sz w:val="32"/>
          <w:szCs w:val="32"/>
        </w:rPr>
        <w:t>万元。全年实际支出</w:t>
      </w:r>
      <w:r>
        <w:rPr>
          <w:rFonts w:ascii="仿宋_GB2312" w:eastAsia="仿宋_GB2312" w:hAnsi="宋体" w:cs="宋体" w:hint="eastAsia"/>
          <w:color w:val="000000" w:themeColor="text1"/>
          <w:kern w:val="0"/>
          <w:sz w:val="32"/>
          <w:szCs w:val="32"/>
        </w:rPr>
        <w:t>109,862.92</w:t>
      </w:r>
      <w:r>
        <w:rPr>
          <w:rFonts w:ascii="仿宋_GB2312" w:eastAsia="仿宋_GB2312" w:hAnsi="宋体" w:cs="宋体" w:hint="eastAsia"/>
          <w:color w:val="000000" w:themeColor="text1"/>
          <w:kern w:val="0"/>
          <w:sz w:val="32"/>
          <w:szCs w:val="32"/>
        </w:rPr>
        <w:t>元，其中，基本支出</w:t>
      </w:r>
      <w:r>
        <w:rPr>
          <w:rFonts w:ascii="仿宋_GB2312" w:eastAsia="仿宋_GB2312" w:hAnsi="宋体" w:cs="宋体" w:hint="eastAsia"/>
          <w:color w:val="000000" w:themeColor="text1"/>
          <w:kern w:val="0"/>
          <w:sz w:val="32"/>
          <w:szCs w:val="32"/>
        </w:rPr>
        <w:t>36,721.56</w:t>
      </w:r>
      <w:r>
        <w:rPr>
          <w:rFonts w:ascii="仿宋_GB2312" w:eastAsia="仿宋_GB2312" w:hAnsi="宋体" w:cs="宋体" w:hint="eastAsia"/>
          <w:color w:val="000000" w:themeColor="text1"/>
          <w:kern w:val="0"/>
          <w:sz w:val="32"/>
          <w:szCs w:val="32"/>
        </w:rPr>
        <w:t>万元，项目支出</w:t>
      </w:r>
      <w:r>
        <w:rPr>
          <w:rFonts w:ascii="仿宋_GB2312" w:eastAsia="仿宋_GB2312" w:hAnsi="宋体" w:cs="宋体" w:hint="eastAsia"/>
          <w:color w:val="000000" w:themeColor="text1"/>
          <w:kern w:val="0"/>
          <w:sz w:val="32"/>
          <w:szCs w:val="32"/>
        </w:rPr>
        <w:t>73,141.36</w:t>
      </w:r>
      <w:r>
        <w:rPr>
          <w:rFonts w:ascii="仿宋_GB2312" w:eastAsia="仿宋_GB2312" w:hAnsi="宋体" w:cs="宋体" w:hint="eastAsia"/>
          <w:color w:val="000000" w:themeColor="text1"/>
          <w:kern w:val="0"/>
          <w:sz w:val="32"/>
          <w:szCs w:val="32"/>
        </w:rPr>
        <w:t>万元，其他支出</w:t>
      </w:r>
      <w:r>
        <w:rPr>
          <w:rFonts w:ascii="仿宋_GB2312" w:eastAsia="仿宋_GB2312" w:hAnsi="宋体" w:cs="宋体" w:hint="eastAsia"/>
          <w:color w:val="000000" w:themeColor="text1"/>
          <w:kern w:val="0"/>
          <w:sz w:val="32"/>
          <w:szCs w:val="32"/>
        </w:rPr>
        <w:t>0</w:t>
      </w:r>
      <w:r>
        <w:rPr>
          <w:rFonts w:ascii="仿宋_GB2312" w:eastAsia="仿宋_GB2312" w:hAnsi="宋体" w:cs="宋体" w:hint="eastAsia"/>
          <w:color w:val="000000" w:themeColor="text1"/>
          <w:kern w:val="0"/>
          <w:sz w:val="32"/>
          <w:szCs w:val="32"/>
        </w:rPr>
        <w:t>万元，预算执行率为</w:t>
      </w:r>
      <w:r>
        <w:rPr>
          <w:rFonts w:ascii="仿宋_GB2312" w:eastAsia="仿宋_GB2312" w:hAnsi="宋体" w:cs="宋体" w:hint="eastAsia"/>
          <w:color w:val="000000" w:themeColor="text1"/>
          <w:kern w:val="0"/>
          <w:sz w:val="32"/>
          <w:szCs w:val="32"/>
        </w:rPr>
        <w:t>95.3</w:t>
      </w:r>
      <w:r>
        <w:rPr>
          <w:rFonts w:ascii="仿宋_GB2312" w:eastAsia="仿宋_GB2312" w:hAnsi="宋体" w:cs="宋体" w:hint="eastAsia"/>
          <w:color w:val="000000" w:themeColor="text1"/>
          <w:kern w:val="0"/>
          <w:sz w:val="32"/>
          <w:szCs w:val="32"/>
        </w:rPr>
        <w:t>4</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w:t>
      </w:r>
    </w:p>
    <w:p w:rsidR="00276BFD" w:rsidRDefault="00A326DA">
      <w:pPr>
        <w:pStyle w:val="1"/>
        <w:ind w:firstLine="643"/>
      </w:pPr>
      <w:bookmarkStart w:id="2" w:name="_Toc20033"/>
      <w:r>
        <w:rPr>
          <w:rFonts w:hint="eastAsia"/>
        </w:rPr>
        <w:t>三</w:t>
      </w:r>
      <w:r>
        <w:t>、整体绩效目标实现情况</w:t>
      </w:r>
      <w:bookmarkEnd w:id="2"/>
    </w:p>
    <w:p w:rsidR="00276BFD" w:rsidRDefault="00A326DA">
      <w:pPr>
        <w:pStyle w:val="20"/>
        <w:ind w:firstLine="643"/>
      </w:pPr>
      <w:r>
        <w:rPr>
          <w:rFonts w:hint="eastAsia"/>
        </w:rPr>
        <w:t>（一）产出完成情况分析</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年，习近平总书记多次召开重要会议，对文化工作作出重要指示，习近平文化思想为我们进一步指明发展方向。</w:t>
      </w:r>
      <w:r>
        <w:rPr>
          <w:rFonts w:ascii="仿宋_GB2312" w:eastAsia="仿宋_GB2312" w:hAnsi="宋体" w:cs="宋体" w:hint="eastAsia"/>
          <w:color w:val="000000"/>
          <w:kern w:val="0"/>
          <w:sz w:val="32"/>
          <w:szCs w:val="32"/>
        </w:rPr>
        <w:t>市委市政府多次对国家大剧院工作给予巨大关怀，让我院深受鼓舞鞭策。我院致力于为弘扬和传播中华优秀文化搭建优质舞台，为首都的文化繁荣与发展作出了积极贡献。按照任务目标的数量、质量、进度和成本要求完成了各项工作。具体情况如下：</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276BFD" w:rsidRDefault="00A326DA">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年我院积极落实市政府重点任务及部门年度重点工作，各项产出指标完成情况如下表所示：</w:t>
      </w:r>
    </w:p>
    <w:p w:rsidR="00276BFD" w:rsidRDefault="00A326DA">
      <w:pPr>
        <w:shd w:val="clear" w:color="000000" w:fill="auto"/>
        <w:adjustRightInd w:val="0"/>
        <w:snapToGrid w:val="0"/>
        <w:spacing w:line="360" w:lineRule="auto"/>
        <w:ind w:firstLineChars="200" w:firstLine="560"/>
        <w:jc w:val="center"/>
        <w:rPr>
          <w:rFonts w:eastAsia="黑体"/>
          <w:sz w:val="28"/>
          <w:szCs w:val="28"/>
        </w:rPr>
      </w:pPr>
      <w:r>
        <w:rPr>
          <w:rFonts w:eastAsia="黑体"/>
          <w:sz w:val="28"/>
          <w:szCs w:val="28"/>
        </w:rPr>
        <w:t>表</w:t>
      </w:r>
      <w:r>
        <w:rPr>
          <w:rFonts w:eastAsia="黑体" w:hint="eastAsia"/>
          <w:sz w:val="28"/>
          <w:szCs w:val="28"/>
        </w:rPr>
        <w:t>1</w:t>
      </w:r>
      <w:r>
        <w:rPr>
          <w:rFonts w:eastAsia="黑体"/>
          <w:sz w:val="28"/>
          <w:szCs w:val="28"/>
        </w:rPr>
        <w:t xml:space="preserve">  202</w:t>
      </w:r>
      <w:r>
        <w:rPr>
          <w:rFonts w:eastAsia="黑体" w:hint="eastAsia"/>
          <w:sz w:val="28"/>
          <w:szCs w:val="28"/>
        </w:rPr>
        <w:t>3</w:t>
      </w:r>
      <w:r>
        <w:rPr>
          <w:rFonts w:eastAsia="黑体"/>
          <w:sz w:val="28"/>
          <w:szCs w:val="28"/>
        </w:rPr>
        <w:t>年</w:t>
      </w:r>
      <w:r>
        <w:rPr>
          <w:rFonts w:eastAsia="黑体" w:hint="eastAsia"/>
          <w:sz w:val="28"/>
          <w:szCs w:val="28"/>
        </w:rPr>
        <w:t>部门</w:t>
      </w:r>
      <w:r>
        <w:rPr>
          <w:rFonts w:eastAsia="黑体"/>
          <w:sz w:val="28"/>
          <w:szCs w:val="28"/>
        </w:rPr>
        <w:t>产出数量指标完成情况</w:t>
      </w:r>
    </w:p>
    <w:tbl>
      <w:tblPr>
        <w:tblW w:w="8220" w:type="dxa"/>
        <w:tblInd w:w="113" w:type="dxa"/>
        <w:tblLayout w:type="fixed"/>
        <w:tblLook w:val="04A0"/>
      </w:tblPr>
      <w:tblGrid>
        <w:gridCol w:w="2405"/>
        <w:gridCol w:w="2552"/>
        <w:gridCol w:w="1417"/>
        <w:gridCol w:w="1846"/>
      </w:tblGrid>
      <w:tr w:rsidR="00276BFD">
        <w:trPr>
          <w:trHeight w:val="431"/>
          <w:tblHeader/>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b/>
                <w:bCs/>
                <w:color w:val="000000"/>
                <w:kern w:val="0"/>
                <w:sz w:val="22"/>
                <w:szCs w:val="22"/>
              </w:rPr>
            </w:pPr>
            <w:r>
              <w:rPr>
                <w:rFonts w:ascii="宋体" w:hAnsi="宋体" w:cs="宋体" w:hint="eastAsia"/>
                <w:b/>
                <w:bCs/>
                <w:color w:val="000000"/>
                <w:kern w:val="0"/>
                <w:sz w:val="22"/>
                <w:szCs w:val="22"/>
              </w:rPr>
              <w:t>活动</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b/>
                <w:bCs/>
                <w:color w:val="000000"/>
                <w:kern w:val="0"/>
                <w:sz w:val="22"/>
                <w:szCs w:val="22"/>
              </w:rPr>
            </w:pPr>
            <w:r>
              <w:rPr>
                <w:rFonts w:ascii="宋体" w:hAnsi="宋体" w:cs="宋体" w:hint="eastAsia"/>
                <w:b/>
                <w:bCs/>
                <w:color w:val="000000"/>
                <w:kern w:val="0"/>
                <w:sz w:val="22"/>
                <w:szCs w:val="22"/>
              </w:rPr>
              <w:t>绩效指标</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b/>
                <w:bCs/>
                <w:color w:val="000000"/>
                <w:kern w:val="0"/>
                <w:sz w:val="22"/>
                <w:szCs w:val="22"/>
              </w:rPr>
            </w:pPr>
            <w:r>
              <w:rPr>
                <w:rFonts w:ascii="宋体" w:hAnsi="宋体" w:cs="宋体" w:hint="eastAsia"/>
                <w:b/>
                <w:bCs/>
                <w:color w:val="000000"/>
                <w:kern w:val="0"/>
                <w:sz w:val="22"/>
                <w:szCs w:val="22"/>
              </w:rPr>
              <w:t>指标值</w:t>
            </w:r>
          </w:p>
        </w:tc>
        <w:tc>
          <w:tcPr>
            <w:tcW w:w="1846" w:type="dxa"/>
            <w:tcBorders>
              <w:top w:val="single" w:sz="4" w:space="0" w:color="auto"/>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b/>
                <w:bCs/>
                <w:color w:val="000000"/>
                <w:kern w:val="0"/>
                <w:sz w:val="22"/>
                <w:szCs w:val="22"/>
              </w:rPr>
            </w:pPr>
            <w:r>
              <w:rPr>
                <w:rFonts w:ascii="宋体" w:hAnsi="宋体" w:cs="宋体" w:hint="eastAsia"/>
                <w:b/>
                <w:bCs/>
                <w:color w:val="000000"/>
                <w:kern w:val="0"/>
                <w:sz w:val="22"/>
                <w:szCs w:val="22"/>
              </w:rPr>
              <w:t>完成值</w:t>
            </w:r>
          </w:p>
        </w:tc>
      </w:tr>
      <w:tr w:rsidR="00276BFD">
        <w:trPr>
          <w:trHeight w:val="576"/>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lastRenderedPageBreak/>
              <w:t>艺术教育交流</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舞台艺术电影后期制作数量</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1</w:t>
            </w:r>
            <w:r>
              <w:rPr>
                <w:rFonts w:ascii="宋体" w:hAnsi="宋体" w:cs="宋体" w:hint="eastAsia"/>
                <w:color w:val="000000"/>
                <w:kern w:val="0"/>
                <w:sz w:val="22"/>
                <w:szCs w:val="22"/>
              </w:rPr>
              <w:t>部</w:t>
            </w:r>
          </w:p>
        </w:tc>
        <w:tc>
          <w:tcPr>
            <w:tcW w:w="1846"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1</w:t>
            </w:r>
            <w:r>
              <w:rPr>
                <w:rFonts w:ascii="宋体" w:hAnsi="宋体" w:cs="宋体" w:hint="eastAsia"/>
                <w:color w:val="000000"/>
                <w:kern w:val="0"/>
                <w:sz w:val="22"/>
                <w:szCs w:val="22"/>
              </w:rPr>
              <w:t>部</w:t>
            </w:r>
          </w:p>
        </w:tc>
      </w:tr>
      <w:tr w:rsidR="00276BFD">
        <w:trPr>
          <w:trHeight w:val="576"/>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艺术教育交流</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录制舞台艺术电影数量</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2</w:t>
            </w:r>
            <w:r>
              <w:rPr>
                <w:rFonts w:ascii="宋体" w:hAnsi="宋体" w:cs="宋体" w:hint="eastAsia"/>
                <w:color w:val="000000"/>
                <w:kern w:val="0"/>
                <w:sz w:val="22"/>
                <w:szCs w:val="22"/>
              </w:rPr>
              <w:t>部</w:t>
            </w:r>
          </w:p>
        </w:tc>
        <w:tc>
          <w:tcPr>
            <w:tcW w:w="1846"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3</w:t>
            </w:r>
            <w:r>
              <w:rPr>
                <w:rFonts w:ascii="宋体" w:hAnsi="宋体" w:cs="宋体" w:hint="eastAsia"/>
                <w:color w:val="000000"/>
                <w:kern w:val="0"/>
                <w:sz w:val="22"/>
                <w:szCs w:val="22"/>
              </w:rPr>
              <w:t>部</w:t>
            </w:r>
          </w:p>
        </w:tc>
      </w:tr>
      <w:tr w:rsidR="00276BFD">
        <w:trPr>
          <w:trHeight w:val="576"/>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演出运营</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新制作剧目产品</w:t>
            </w:r>
            <w:r>
              <w:rPr>
                <w:rFonts w:ascii="宋体" w:hAnsi="宋体" w:cs="宋体" w:hint="eastAsia"/>
                <w:color w:val="000000"/>
                <w:kern w:val="0"/>
                <w:sz w:val="22"/>
                <w:szCs w:val="22"/>
              </w:rPr>
              <w:t>/</w:t>
            </w:r>
            <w:r>
              <w:rPr>
                <w:rFonts w:ascii="宋体" w:hAnsi="宋体" w:cs="宋体" w:hint="eastAsia"/>
                <w:color w:val="000000"/>
                <w:kern w:val="0"/>
                <w:sz w:val="22"/>
                <w:szCs w:val="22"/>
              </w:rPr>
              <w:t>自制剧目复排数量</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19</w:t>
            </w:r>
            <w:r>
              <w:rPr>
                <w:rFonts w:ascii="宋体" w:hAnsi="宋体" w:cs="宋体" w:hint="eastAsia"/>
                <w:color w:val="000000"/>
                <w:kern w:val="0"/>
                <w:sz w:val="22"/>
                <w:szCs w:val="22"/>
              </w:rPr>
              <w:t>部</w:t>
            </w:r>
          </w:p>
        </w:tc>
        <w:tc>
          <w:tcPr>
            <w:tcW w:w="1846"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新排剧目</w:t>
            </w:r>
            <w:r>
              <w:rPr>
                <w:rFonts w:ascii="宋体" w:hAnsi="宋体" w:cs="宋体" w:hint="eastAsia"/>
                <w:color w:val="000000"/>
                <w:kern w:val="0"/>
                <w:sz w:val="22"/>
                <w:szCs w:val="22"/>
              </w:rPr>
              <w:t>4</w:t>
            </w:r>
            <w:r>
              <w:rPr>
                <w:rFonts w:ascii="宋体" w:hAnsi="宋体" w:cs="宋体" w:hint="eastAsia"/>
                <w:color w:val="000000"/>
                <w:kern w:val="0"/>
                <w:sz w:val="22"/>
                <w:szCs w:val="22"/>
              </w:rPr>
              <w:t>部；复排剧目</w:t>
            </w:r>
            <w:r>
              <w:rPr>
                <w:rFonts w:ascii="宋体" w:hAnsi="宋体" w:cs="宋体" w:hint="eastAsia"/>
                <w:color w:val="000000"/>
                <w:kern w:val="0"/>
                <w:sz w:val="22"/>
                <w:szCs w:val="22"/>
              </w:rPr>
              <w:t>20</w:t>
            </w:r>
            <w:r>
              <w:rPr>
                <w:rFonts w:ascii="宋体" w:hAnsi="宋体" w:cs="宋体" w:hint="eastAsia"/>
                <w:color w:val="000000"/>
                <w:kern w:val="0"/>
                <w:sz w:val="22"/>
                <w:szCs w:val="22"/>
              </w:rPr>
              <w:t>部</w:t>
            </w:r>
          </w:p>
        </w:tc>
      </w:tr>
      <w:tr w:rsidR="00276BFD">
        <w:trPr>
          <w:trHeight w:val="1524"/>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艺术教育交流</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组织</w:t>
            </w:r>
            <w:r>
              <w:rPr>
                <w:rFonts w:ascii="宋体" w:hAnsi="宋体" w:cs="宋体" w:hint="eastAsia"/>
                <w:color w:val="000000"/>
                <w:kern w:val="0"/>
                <w:sz w:val="22"/>
                <w:szCs w:val="22"/>
              </w:rPr>
              <w:t>2023</w:t>
            </w:r>
            <w:r>
              <w:rPr>
                <w:rFonts w:ascii="宋体" w:hAnsi="宋体" w:cs="宋体" w:hint="eastAsia"/>
                <w:color w:val="000000"/>
                <w:kern w:val="0"/>
                <w:sz w:val="22"/>
                <w:szCs w:val="22"/>
              </w:rPr>
              <w:t>国家大剧院国际歌剧电影展，舞台艺术电影常态化放映等展映推广活动</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1</w:t>
            </w:r>
            <w:r>
              <w:rPr>
                <w:rFonts w:ascii="宋体" w:hAnsi="宋体" w:cs="宋体" w:hint="eastAsia"/>
                <w:color w:val="000000"/>
                <w:kern w:val="0"/>
                <w:sz w:val="22"/>
                <w:szCs w:val="22"/>
              </w:rPr>
              <w:t>次</w:t>
            </w:r>
          </w:p>
        </w:tc>
        <w:tc>
          <w:tcPr>
            <w:tcW w:w="1846"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1</w:t>
            </w:r>
            <w:r>
              <w:rPr>
                <w:rFonts w:ascii="宋体" w:hAnsi="宋体" w:cs="宋体" w:hint="eastAsia"/>
                <w:color w:val="000000"/>
                <w:kern w:val="0"/>
                <w:sz w:val="22"/>
                <w:szCs w:val="22"/>
              </w:rPr>
              <w:t>次</w:t>
            </w:r>
          </w:p>
        </w:tc>
      </w:tr>
      <w:tr w:rsidR="00276BFD">
        <w:trPr>
          <w:trHeight w:val="576"/>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艺术教育交流</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开展国际文化交流活动次数</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70</w:t>
            </w:r>
            <w:r>
              <w:rPr>
                <w:rFonts w:ascii="宋体" w:hAnsi="宋体" w:cs="宋体" w:hint="eastAsia"/>
                <w:color w:val="000000"/>
                <w:kern w:val="0"/>
                <w:sz w:val="22"/>
                <w:szCs w:val="22"/>
              </w:rPr>
              <w:t>次</w:t>
            </w:r>
          </w:p>
        </w:tc>
        <w:tc>
          <w:tcPr>
            <w:tcW w:w="1846"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117</w:t>
            </w:r>
            <w:r>
              <w:rPr>
                <w:rFonts w:ascii="宋体" w:hAnsi="宋体" w:cs="宋体" w:hint="eastAsia"/>
                <w:color w:val="000000"/>
                <w:kern w:val="0"/>
                <w:sz w:val="22"/>
                <w:szCs w:val="22"/>
              </w:rPr>
              <w:t>次</w:t>
            </w:r>
          </w:p>
        </w:tc>
      </w:tr>
      <w:tr w:rsidR="00276BFD">
        <w:trPr>
          <w:trHeight w:val="576"/>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艺术教育交流</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艺术普及教育活动开展数量</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680</w:t>
            </w:r>
            <w:r>
              <w:rPr>
                <w:rFonts w:ascii="宋体" w:hAnsi="宋体" w:cs="宋体" w:hint="eastAsia"/>
                <w:color w:val="000000"/>
                <w:kern w:val="0"/>
                <w:sz w:val="22"/>
                <w:szCs w:val="22"/>
              </w:rPr>
              <w:t>场</w:t>
            </w:r>
          </w:p>
        </w:tc>
        <w:tc>
          <w:tcPr>
            <w:tcW w:w="1846"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746</w:t>
            </w:r>
            <w:r>
              <w:rPr>
                <w:rFonts w:ascii="宋体" w:hAnsi="宋体" w:cs="宋体" w:hint="eastAsia"/>
                <w:color w:val="000000"/>
                <w:kern w:val="0"/>
                <w:sz w:val="22"/>
                <w:szCs w:val="22"/>
              </w:rPr>
              <w:t>场</w:t>
            </w:r>
          </w:p>
        </w:tc>
      </w:tr>
      <w:tr w:rsidR="00276BFD">
        <w:trPr>
          <w:trHeight w:val="288"/>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艺术教育交流</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管弦巡演场次</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5</w:t>
            </w:r>
            <w:r>
              <w:rPr>
                <w:rFonts w:ascii="宋体" w:hAnsi="宋体" w:cs="宋体" w:hint="eastAsia"/>
                <w:color w:val="000000"/>
                <w:kern w:val="0"/>
                <w:sz w:val="22"/>
                <w:szCs w:val="22"/>
              </w:rPr>
              <w:t>场</w:t>
            </w:r>
          </w:p>
        </w:tc>
        <w:tc>
          <w:tcPr>
            <w:tcW w:w="1846"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8</w:t>
            </w:r>
            <w:r>
              <w:rPr>
                <w:rFonts w:ascii="宋体" w:hAnsi="宋体" w:cs="宋体" w:hint="eastAsia"/>
                <w:color w:val="000000"/>
                <w:kern w:val="0"/>
                <w:sz w:val="22"/>
                <w:szCs w:val="22"/>
              </w:rPr>
              <w:t>场</w:t>
            </w:r>
          </w:p>
        </w:tc>
      </w:tr>
      <w:tr w:rsidR="00276BFD">
        <w:trPr>
          <w:trHeight w:val="576"/>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演出运营</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新制作剧目产品</w:t>
            </w:r>
            <w:r>
              <w:rPr>
                <w:rFonts w:ascii="宋体" w:hAnsi="宋体" w:cs="宋体" w:hint="eastAsia"/>
                <w:color w:val="000000"/>
                <w:kern w:val="0"/>
                <w:sz w:val="22"/>
                <w:szCs w:val="22"/>
              </w:rPr>
              <w:t>/</w:t>
            </w:r>
            <w:r>
              <w:rPr>
                <w:rFonts w:ascii="宋体" w:hAnsi="宋体" w:cs="宋体" w:hint="eastAsia"/>
                <w:color w:val="000000"/>
                <w:kern w:val="0"/>
                <w:sz w:val="22"/>
                <w:szCs w:val="22"/>
              </w:rPr>
              <w:t>自制剧目复排演出数量</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90</w:t>
            </w:r>
            <w:r>
              <w:rPr>
                <w:rFonts w:ascii="宋体" w:hAnsi="宋体" w:cs="宋体" w:hint="eastAsia"/>
                <w:color w:val="000000"/>
                <w:kern w:val="0"/>
                <w:sz w:val="22"/>
                <w:szCs w:val="22"/>
              </w:rPr>
              <w:t>场</w:t>
            </w:r>
          </w:p>
        </w:tc>
        <w:tc>
          <w:tcPr>
            <w:tcW w:w="1846"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新排剧目</w:t>
            </w:r>
            <w:r>
              <w:rPr>
                <w:rFonts w:ascii="宋体" w:hAnsi="宋体" w:cs="宋体" w:hint="eastAsia"/>
                <w:color w:val="000000"/>
                <w:kern w:val="0"/>
                <w:sz w:val="22"/>
                <w:szCs w:val="22"/>
              </w:rPr>
              <w:t>20</w:t>
            </w:r>
            <w:r>
              <w:rPr>
                <w:rFonts w:ascii="宋体" w:hAnsi="宋体" w:cs="宋体" w:hint="eastAsia"/>
                <w:color w:val="000000"/>
                <w:kern w:val="0"/>
                <w:sz w:val="22"/>
                <w:szCs w:val="22"/>
              </w:rPr>
              <w:t>场；复排剧目</w:t>
            </w:r>
            <w:r>
              <w:rPr>
                <w:rFonts w:ascii="宋体" w:hAnsi="宋体" w:cs="宋体" w:hint="eastAsia"/>
                <w:color w:val="000000"/>
                <w:kern w:val="0"/>
                <w:sz w:val="22"/>
                <w:szCs w:val="22"/>
              </w:rPr>
              <w:t>98</w:t>
            </w:r>
            <w:r>
              <w:rPr>
                <w:rFonts w:ascii="宋体" w:hAnsi="宋体" w:cs="宋体" w:hint="eastAsia"/>
                <w:color w:val="000000"/>
                <w:kern w:val="0"/>
                <w:sz w:val="22"/>
                <w:szCs w:val="22"/>
              </w:rPr>
              <w:t>场</w:t>
            </w:r>
          </w:p>
        </w:tc>
      </w:tr>
      <w:tr w:rsidR="00276BFD">
        <w:trPr>
          <w:trHeight w:val="576"/>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演出运营</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全年引进商业类演出数量</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500</w:t>
            </w:r>
            <w:r>
              <w:rPr>
                <w:rFonts w:ascii="宋体" w:hAnsi="宋体" w:cs="宋体" w:hint="eastAsia"/>
                <w:color w:val="000000"/>
                <w:kern w:val="0"/>
                <w:sz w:val="22"/>
                <w:szCs w:val="22"/>
              </w:rPr>
              <w:t>场</w:t>
            </w:r>
          </w:p>
        </w:tc>
        <w:tc>
          <w:tcPr>
            <w:tcW w:w="1846"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669</w:t>
            </w:r>
            <w:r>
              <w:rPr>
                <w:rFonts w:ascii="宋体" w:hAnsi="宋体" w:cs="宋体" w:hint="eastAsia"/>
                <w:color w:val="000000"/>
                <w:kern w:val="0"/>
                <w:sz w:val="22"/>
                <w:szCs w:val="22"/>
              </w:rPr>
              <w:t>场</w:t>
            </w:r>
          </w:p>
        </w:tc>
      </w:tr>
      <w:tr w:rsidR="00276BFD">
        <w:trPr>
          <w:trHeight w:val="576"/>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演出运营</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北京艺术中心试运营</w:t>
            </w:r>
            <w:r>
              <w:rPr>
                <w:rFonts w:ascii="宋体" w:hAnsi="宋体" w:cs="宋体" w:hint="eastAsia"/>
                <w:color w:val="000000"/>
                <w:kern w:val="0"/>
                <w:sz w:val="22"/>
                <w:szCs w:val="22"/>
              </w:rPr>
              <w:t>外邀</w:t>
            </w:r>
            <w:r>
              <w:rPr>
                <w:rFonts w:ascii="宋体" w:hAnsi="宋体" w:cs="宋体" w:hint="eastAsia"/>
                <w:color w:val="000000"/>
                <w:kern w:val="0"/>
                <w:sz w:val="22"/>
                <w:szCs w:val="22"/>
              </w:rPr>
              <w:t>演出数量</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24</w:t>
            </w:r>
            <w:r>
              <w:rPr>
                <w:rFonts w:ascii="宋体" w:hAnsi="宋体" w:cs="宋体" w:hint="eastAsia"/>
                <w:color w:val="000000"/>
                <w:kern w:val="0"/>
                <w:sz w:val="22"/>
                <w:szCs w:val="22"/>
              </w:rPr>
              <w:t>场</w:t>
            </w:r>
          </w:p>
        </w:tc>
        <w:tc>
          <w:tcPr>
            <w:tcW w:w="1846"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sidRPr="00641BA0">
              <w:rPr>
                <w:rFonts w:ascii="宋体" w:hAnsi="宋体" w:cs="宋体" w:hint="eastAsia"/>
                <w:color w:val="000000"/>
                <w:kern w:val="0"/>
                <w:sz w:val="22"/>
                <w:szCs w:val="22"/>
              </w:rPr>
              <w:t>30</w:t>
            </w:r>
            <w:r w:rsidRPr="00641BA0">
              <w:rPr>
                <w:rFonts w:ascii="宋体" w:hAnsi="宋体" w:cs="宋体" w:hint="eastAsia"/>
                <w:color w:val="000000"/>
                <w:kern w:val="0"/>
                <w:sz w:val="22"/>
                <w:szCs w:val="22"/>
              </w:rPr>
              <w:t>场</w:t>
            </w:r>
            <w:r>
              <w:rPr>
                <w:rFonts w:ascii="宋体" w:hAnsi="宋体" w:cs="宋体" w:hint="eastAsia"/>
                <w:color w:val="000000"/>
                <w:kern w:val="0"/>
                <w:sz w:val="22"/>
                <w:szCs w:val="22"/>
              </w:rPr>
              <w:t xml:space="preserve">　</w:t>
            </w:r>
          </w:p>
        </w:tc>
      </w:tr>
      <w:tr w:rsidR="00276BFD">
        <w:trPr>
          <w:trHeight w:val="1440"/>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演出运营</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多种宣传渠道，宣传国家大剧院，介绍推广高雅艺术，普及艺术知识、提升民众艺术素养</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hint="eastAsia"/>
                <w:color w:val="000000"/>
                <w:kern w:val="0"/>
                <w:sz w:val="22"/>
                <w:szCs w:val="22"/>
              </w:rPr>
              <w:t>3</w:t>
            </w:r>
            <w:r>
              <w:rPr>
                <w:rFonts w:ascii="宋体" w:hAnsi="宋体" w:cs="宋体" w:hint="eastAsia"/>
                <w:color w:val="000000"/>
                <w:kern w:val="0"/>
                <w:sz w:val="22"/>
                <w:szCs w:val="22"/>
              </w:rPr>
              <w:t>种</w:t>
            </w:r>
          </w:p>
        </w:tc>
        <w:tc>
          <w:tcPr>
            <w:tcW w:w="1846"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以</w:t>
            </w:r>
            <w:r>
              <w:rPr>
                <w:rFonts w:ascii="宋体" w:hAnsi="宋体" w:cs="宋体" w:hint="eastAsia"/>
                <w:color w:val="000000"/>
                <w:kern w:val="0"/>
                <w:sz w:val="22"/>
                <w:szCs w:val="22"/>
              </w:rPr>
              <w:t>户外媒体、报刊媒体、新媒体等多种宣传渠道</w:t>
            </w:r>
            <w:r>
              <w:rPr>
                <w:rFonts w:ascii="宋体" w:hAnsi="宋体" w:cs="宋体" w:hint="eastAsia"/>
                <w:color w:val="000000"/>
                <w:kern w:val="0"/>
                <w:sz w:val="22"/>
                <w:szCs w:val="22"/>
              </w:rPr>
              <w:t>，</w:t>
            </w:r>
            <w:r>
              <w:rPr>
                <w:rFonts w:ascii="宋体" w:hAnsi="宋体" w:cs="宋体" w:hint="eastAsia"/>
                <w:color w:val="000000"/>
                <w:kern w:val="0"/>
                <w:sz w:val="22"/>
                <w:szCs w:val="22"/>
              </w:rPr>
              <w:t>宣传推广国家大剧院及演出信息</w:t>
            </w:r>
          </w:p>
        </w:tc>
      </w:tr>
      <w:tr w:rsidR="00276BFD">
        <w:trPr>
          <w:trHeight w:val="864"/>
        </w:trPr>
        <w:tc>
          <w:tcPr>
            <w:tcW w:w="2405" w:type="dxa"/>
            <w:tcBorders>
              <w:top w:val="nil"/>
              <w:left w:val="single" w:sz="4" w:space="0" w:color="auto"/>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演出运营</w:t>
            </w:r>
          </w:p>
        </w:tc>
        <w:tc>
          <w:tcPr>
            <w:tcW w:w="2552" w:type="dxa"/>
            <w:tcBorders>
              <w:top w:val="nil"/>
              <w:left w:val="nil"/>
              <w:bottom w:val="single" w:sz="4" w:space="0" w:color="auto"/>
              <w:right w:val="single" w:sz="4" w:space="0" w:color="auto"/>
            </w:tcBorders>
            <w:shd w:val="clear" w:color="auto" w:fill="auto"/>
            <w:vAlign w:val="center"/>
          </w:tcPr>
          <w:p w:rsidR="00276BFD" w:rsidRDefault="00A326DA">
            <w:pPr>
              <w:widowControl/>
              <w:spacing w:line="360" w:lineRule="auto"/>
              <w:jc w:val="left"/>
              <w:rPr>
                <w:rFonts w:ascii="宋体" w:hAnsi="宋体" w:cs="宋体"/>
                <w:color w:val="000000"/>
                <w:kern w:val="0"/>
                <w:sz w:val="22"/>
                <w:szCs w:val="22"/>
              </w:rPr>
            </w:pPr>
            <w:r>
              <w:rPr>
                <w:rFonts w:ascii="宋体" w:hAnsi="宋体" w:cs="宋体" w:hint="eastAsia"/>
                <w:color w:val="000000"/>
                <w:kern w:val="0"/>
                <w:sz w:val="22"/>
                <w:szCs w:val="22"/>
              </w:rPr>
              <w:t>新制作剧目产品</w:t>
            </w:r>
            <w:r>
              <w:rPr>
                <w:rFonts w:ascii="宋体" w:hAnsi="宋体" w:cs="宋体" w:hint="eastAsia"/>
                <w:color w:val="000000"/>
                <w:kern w:val="0"/>
                <w:sz w:val="22"/>
                <w:szCs w:val="22"/>
              </w:rPr>
              <w:t>/</w:t>
            </w:r>
            <w:r>
              <w:rPr>
                <w:rFonts w:ascii="宋体" w:hAnsi="宋体" w:cs="宋体" w:hint="eastAsia"/>
                <w:color w:val="000000"/>
                <w:kern w:val="0"/>
                <w:sz w:val="22"/>
                <w:szCs w:val="22"/>
              </w:rPr>
              <w:t>自制剧目复排演出吸引观众人</w:t>
            </w:r>
            <w:r>
              <w:rPr>
                <w:rFonts w:ascii="宋体" w:hAnsi="宋体" w:cs="宋体" w:hint="eastAsia"/>
                <w:color w:val="000000"/>
                <w:kern w:val="0"/>
                <w:sz w:val="22"/>
                <w:szCs w:val="22"/>
              </w:rPr>
              <w:lastRenderedPageBreak/>
              <w:t>数</w:t>
            </w:r>
          </w:p>
        </w:tc>
        <w:tc>
          <w:tcPr>
            <w:tcW w:w="1417"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lastRenderedPageBreak/>
              <w:t>9</w:t>
            </w:r>
            <w:r>
              <w:rPr>
                <w:rFonts w:ascii="宋体" w:hAnsi="宋体" w:cs="宋体" w:hint="eastAsia"/>
                <w:color w:val="000000"/>
                <w:kern w:val="0"/>
                <w:sz w:val="22"/>
                <w:szCs w:val="22"/>
              </w:rPr>
              <w:t>万人次</w:t>
            </w:r>
          </w:p>
        </w:tc>
        <w:tc>
          <w:tcPr>
            <w:tcW w:w="1846" w:type="dxa"/>
            <w:tcBorders>
              <w:top w:val="nil"/>
              <w:left w:val="nil"/>
              <w:bottom w:val="single" w:sz="4" w:space="0" w:color="auto"/>
              <w:right w:val="single" w:sz="4" w:space="0" w:color="auto"/>
            </w:tcBorders>
            <w:shd w:val="clear" w:color="auto" w:fill="auto"/>
            <w:noWrap/>
            <w:vAlign w:val="center"/>
          </w:tcPr>
          <w:p w:rsidR="00276BFD" w:rsidRDefault="00A326DA">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12</w:t>
            </w:r>
            <w:r>
              <w:rPr>
                <w:rFonts w:ascii="宋体" w:hAnsi="宋体" w:cs="宋体" w:hint="eastAsia"/>
                <w:color w:val="000000"/>
                <w:kern w:val="0"/>
                <w:sz w:val="22"/>
                <w:szCs w:val="22"/>
              </w:rPr>
              <w:t>万人次</w:t>
            </w:r>
          </w:p>
        </w:tc>
      </w:tr>
    </w:tbl>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2.</w:t>
      </w:r>
      <w:r>
        <w:rPr>
          <w:rFonts w:ascii="仿宋_GB2312" w:eastAsia="仿宋_GB2312" w:hAnsi="宋体" w:cs="宋体" w:hint="eastAsia"/>
          <w:color w:val="000000"/>
          <w:kern w:val="0"/>
          <w:sz w:val="32"/>
          <w:szCs w:val="32"/>
        </w:rPr>
        <w:t>产出质量</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年我院上演各艺术门类商业演出</w:t>
      </w:r>
      <w:r>
        <w:rPr>
          <w:rFonts w:ascii="仿宋_GB2312" w:eastAsia="仿宋_GB2312" w:hAnsi="宋体" w:cs="宋体" w:hint="eastAsia"/>
          <w:color w:val="000000"/>
          <w:kern w:val="0"/>
          <w:sz w:val="32"/>
          <w:szCs w:val="32"/>
        </w:rPr>
        <w:t>870</w:t>
      </w:r>
      <w:r>
        <w:rPr>
          <w:rFonts w:ascii="仿宋_GB2312" w:eastAsia="仿宋_GB2312" w:hAnsi="宋体" w:cs="宋体" w:hint="eastAsia"/>
          <w:color w:val="000000"/>
          <w:kern w:val="0"/>
          <w:sz w:val="32"/>
          <w:szCs w:val="32"/>
        </w:rPr>
        <w:t>场，聚合国内外一线名家名团，呈现各民族优秀艺术精品，持续掀起文化消费热潮。帮助</w:t>
      </w:r>
      <w:r>
        <w:rPr>
          <w:rFonts w:ascii="仿宋_GB2312" w:eastAsia="仿宋_GB2312" w:hAnsi="宋体" w:cs="宋体" w:hint="eastAsia"/>
          <w:color w:val="000000"/>
          <w:kern w:val="0"/>
          <w:sz w:val="32"/>
          <w:szCs w:val="32"/>
        </w:rPr>
        <w:t>117</w:t>
      </w:r>
      <w:r>
        <w:rPr>
          <w:rFonts w:ascii="仿宋_GB2312" w:eastAsia="仿宋_GB2312" w:hAnsi="宋体" w:cs="宋体" w:hint="eastAsia"/>
          <w:color w:val="000000"/>
          <w:kern w:val="0"/>
          <w:sz w:val="32"/>
          <w:szCs w:val="32"/>
        </w:rPr>
        <w:t>所学校</w:t>
      </w:r>
      <w:r>
        <w:rPr>
          <w:rFonts w:ascii="仿宋_GB2312" w:eastAsia="仿宋_GB2312" w:hAnsi="宋体" w:cs="宋体" w:hint="eastAsia"/>
          <w:color w:val="000000"/>
          <w:kern w:val="0"/>
          <w:sz w:val="32"/>
          <w:szCs w:val="32"/>
        </w:rPr>
        <w:t>6000</w:t>
      </w:r>
      <w:r>
        <w:rPr>
          <w:rFonts w:ascii="仿宋_GB2312" w:eastAsia="仿宋_GB2312" w:hAnsi="宋体" w:cs="宋体" w:hint="eastAsia"/>
          <w:color w:val="000000"/>
          <w:kern w:val="0"/>
          <w:sz w:val="32"/>
          <w:szCs w:val="32"/>
        </w:rPr>
        <w:t>余名学生登上了大剧院舞台；全年走进</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50</w:t>
      </w:r>
      <w:r>
        <w:rPr>
          <w:rFonts w:ascii="仿宋_GB2312" w:eastAsia="仿宋_GB2312" w:hAnsi="宋体" w:cs="宋体" w:hint="eastAsia"/>
          <w:color w:val="000000"/>
          <w:kern w:val="0"/>
          <w:sz w:val="32"/>
          <w:szCs w:val="32"/>
        </w:rPr>
        <w:t>余家郊区单位，极大丰富了当地群众的文化生活；举办</w:t>
      </w:r>
      <w:r>
        <w:rPr>
          <w:rFonts w:ascii="仿宋_GB2312" w:eastAsia="仿宋_GB2312" w:hAnsi="宋体" w:cs="宋体" w:hint="eastAsia"/>
          <w:color w:val="000000"/>
          <w:kern w:val="0"/>
          <w:sz w:val="32"/>
          <w:szCs w:val="32"/>
        </w:rPr>
        <w:t>42</w:t>
      </w:r>
      <w:r>
        <w:rPr>
          <w:rFonts w:ascii="仿宋_GB2312" w:eastAsia="仿宋_GB2312" w:hAnsi="宋体" w:cs="宋体" w:hint="eastAsia"/>
          <w:color w:val="000000"/>
          <w:kern w:val="0"/>
          <w:sz w:val="32"/>
          <w:szCs w:val="32"/>
        </w:rPr>
        <w:t>场主题艺术展览贯穿全年，囊括非遗文化、刻板印刷、中国戏</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曲、数字艺术、民族器乐、西方绘画、舞台美术等不同风格、不同形式的艺术之美；全年市场营销势头强劲，票房收入再创新高、达到</w:t>
      </w:r>
      <w:r>
        <w:rPr>
          <w:rFonts w:ascii="仿宋_GB2312" w:eastAsia="仿宋_GB2312" w:hAnsi="宋体" w:cs="宋体" w:hint="eastAsia"/>
          <w:color w:val="000000"/>
          <w:kern w:val="0"/>
          <w:sz w:val="32"/>
          <w:szCs w:val="32"/>
        </w:rPr>
        <w:t>2.72</w:t>
      </w:r>
      <w:r>
        <w:rPr>
          <w:rFonts w:ascii="仿宋_GB2312" w:eastAsia="仿宋_GB2312" w:hAnsi="宋体" w:cs="宋体" w:hint="eastAsia"/>
          <w:color w:val="000000"/>
          <w:kern w:val="0"/>
          <w:sz w:val="32"/>
          <w:szCs w:val="32"/>
        </w:rPr>
        <w:t>亿元。全年演出及各项活动无事故。</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产出时效</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年我院在国内经济持续承压中走出了一条回升向好的复苏道路，上演各艺术门类商业演出，如期举办“歌剧节”“五月音乐节”“交响乐之春”“舞蹈节”“台湖爵士音乐节”“</w:t>
      </w: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新年音乐会”等品牌活动，积极策划“我和祖国一起成长”等主题演出，让世界经典与国风意蕴、现代科技与传统美学在大剧院舞台上交融共生，各项重大活动均按计划时间完成。</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产出成本</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年我院积极贯彻节约理念，严格控制成本，显著提</w:t>
      </w:r>
      <w:r>
        <w:rPr>
          <w:rFonts w:ascii="仿宋_GB2312" w:eastAsia="仿宋_GB2312" w:hAnsi="宋体" w:cs="宋体" w:hint="eastAsia"/>
          <w:color w:val="000000"/>
          <w:kern w:val="0"/>
          <w:sz w:val="32"/>
          <w:szCs w:val="32"/>
        </w:rPr>
        <w:lastRenderedPageBreak/>
        <w:t>升了预算编审的科学性、准确性和规范性。遵循“应评尽评”的原则，全面开展预算评审工作，深入开展了项目成本预算绩效分析</w:t>
      </w:r>
      <w:r>
        <w:rPr>
          <w:rFonts w:ascii="仿宋_GB2312" w:eastAsia="仿宋_GB2312" w:hAnsi="宋体" w:cs="宋体" w:hint="eastAsia"/>
          <w:color w:val="000000"/>
          <w:kern w:val="0"/>
          <w:sz w:val="32"/>
          <w:szCs w:val="32"/>
        </w:rPr>
        <w:t>工作，竣工决算审计、政府采购等多项措施，将“过紧日子”的理念落到实处，通过精细化的管理手段，切实降低了成本，实现了降本增效的目标。</w:t>
      </w:r>
    </w:p>
    <w:p w:rsidR="00276BFD" w:rsidRDefault="00A326DA">
      <w:pPr>
        <w:pStyle w:val="20"/>
        <w:ind w:firstLine="643"/>
      </w:pPr>
      <w:r>
        <w:rPr>
          <w:rFonts w:hint="eastAsia"/>
        </w:rPr>
        <w:t>（二）效果</w:t>
      </w:r>
      <w:r>
        <w:t>实现情况分析</w:t>
      </w:r>
    </w:p>
    <w:p w:rsidR="00276BFD" w:rsidRDefault="00A326DA">
      <w:pPr>
        <w:spacing w:line="360" w:lineRule="auto"/>
        <w:ind w:leftChars="250" w:left="525" w:firstLineChars="100" w:firstLine="32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社会效益</w:t>
      </w:r>
    </w:p>
    <w:p w:rsidR="00276BFD" w:rsidRDefault="00A326DA">
      <w:pPr>
        <w:pStyle w:val="a8"/>
        <w:spacing w:line="360" w:lineRule="auto"/>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科技赋能，数字文化传播平台</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新年音乐会“百城千屏”超高清同播，成功示范国内首次</w:t>
      </w:r>
      <w:r>
        <w:rPr>
          <w:rFonts w:ascii="仿宋_GB2312" w:eastAsia="仿宋_GB2312" w:hAnsi="宋体" w:cs="宋体" w:hint="eastAsia"/>
          <w:color w:val="000000"/>
          <w:kern w:val="0"/>
          <w:sz w:val="32"/>
          <w:szCs w:val="32"/>
        </w:rPr>
        <w:t>8K</w:t>
      </w:r>
      <w:r>
        <w:rPr>
          <w:rFonts w:ascii="仿宋_GB2312" w:eastAsia="仿宋_GB2312" w:hAnsi="宋体" w:cs="宋体" w:hint="eastAsia"/>
          <w:color w:val="000000"/>
          <w:kern w:val="0"/>
          <w:sz w:val="32"/>
          <w:szCs w:val="32"/>
        </w:rPr>
        <w:t>“第二剧场”跨省直播。截至年底，线上系列演出已累计播放近</w:t>
      </w:r>
      <w:r>
        <w:rPr>
          <w:rFonts w:ascii="仿宋_GB2312" w:eastAsia="仿宋_GB2312" w:hAnsi="宋体" w:cs="宋体" w:hint="eastAsia"/>
          <w:color w:val="000000"/>
          <w:kern w:val="0"/>
          <w:sz w:val="32"/>
          <w:szCs w:val="32"/>
        </w:rPr>
        <w:t>220</w:t>
      </w:r>
      <w:r>
        <w:rPr>
          <w:rFonts w:ascii="仿宋_GB2312" w:eastAsia="仿宋_GB2312" w:hAnsi="宋体" w:cs="宋体" w:hint="eastAsia"/>
          <w:color w:val="000000"/>
          <w:kern w:val="0"/>
          <w:sz w:val="32"/>
          <w:szCs w:val="32"/>
        </w:rPr>
        <w:t>场，全网总点击量超过</w:t>
      </w:r>
      <w:r>
        <w:rPr>
          <w:rFonts w:ascii="仿宋_GB2312" w:eastAsia="仿宋_GB2312" w:hAnsi="宋体" w:cs="宋体" w:hint="eastAsia"/>
          <w:color w:val="000000"/>
          <w:kern w:val="0"/>
          <w:sz w:val="32"/>
          <w:szCs w:val="32"/>
        </w:rPr>
        <w:t xml:space="preserve"> 55</w:t>
      </w:r>
      <w:r>
        <w:rPr>
          <w:rFonts w:ascii="仿宋_GB2312" w:eastAsia="仿宋_GB2312" w:hAnsi="宋体" w:cs="宋体" w:hint="eastAsia"/>
          <w:color w:val="000000"/>
          <w:kern w:val="0"/>
          <w:sz w:val="32"/>
          <w:szCs w:val="32"/>
        </w:rPr>
        <w:t>亿次。“国际歌剧电影展”首次开启线上线下“双展”模式，</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反响热烈。建院</w:t>
      </w:r>
      <w:r>
        <w:rPr>
          <w:rFonts w:ascii="仿宋_GB2312" w:eastAsia="仿宋_GB2312" w:hAnsi="宋体" w:cs="宋体" w:hint="eastAsia"/>
          <w:color w:val="000000"/>
          <w:kern w:val="0"/>
          <w:sz w:val="32"/>
          <w:szCs w:val="32"/>
        </w:rPr>
        <w:t>16</w:t>
      </w:r>
      <w:r>
        <w:rPr>
          <w:rFonts w:ascii="仿宋_GB2312" w:eastAsia="仿宋_GB2312" w:hAnsi="宋体" w:cs="宋体" w:hint="eastAsia"/>
          <w:color w:val="000000"/>
          <w:kern w:val="0"/>
          <w:sz w:val="32"/>
          <w:szCs w:val="32"/>
        </w:rPr>
        <w:t>周年之际首度亮相的“菁彩·</w:t>
      </w:r>
      <w:r>
        <w:rPr>
          <w:rFonts w:ascii="仿宋_GB2312" w:eastAsia="仿宋_GB2312" w:hAnsi="宋体" w:cs="宋体" w:hint="eastAsia"/>
          <w:color w:val="000000"/>
          <w:kern w:val="0"/>
          <w:sz w:val="32"/>
          <w:szCs w:val="32"/>
        </w:rPr>
        <w:t xml:space="preserve">VR </w:t>
      </w:r>
      <w:r>
        <w:rPr>
          <w:rFonts w:ascii="仿宋_GB2312" w:eastAsia="仿宋_GB2312" w:hAnsi="宋体" w:cs="宋体" w:hint="eastAsia"/>
          <w:color w:val="000000"/>
          <w:kern w:val="0"/>
          <w:sz w:val="32"/>
          <w:szCs w:val="32"/>
        </w:rPr>
        <w:t>云剧场”</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全景呈现了“国家大剧院制作”的影像魅力。此外还有裸眼</w:t>
      </w:r>
      <w:r>
        <w:rPr>
          <w:rFonts w:ascii="仿宋_GB2312" w:eastAsia="仿宋_GB2312" w:hAnsi="宋体" w:cs="宋体" w:hint="eastAsia"/>
          <w:color w:val="000000"/>
          <w:kern w:val="0"/>
          <w:sz w:val="32"/>
          <w:szCs w:val="32"/>
        </w:rPr>
        <w:t>3D</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全息变脸等，都为观众提供了身临其境的视听体验。</w:t>
      </w:r>
    </w:p>
    <w:p w:rsidR="00276BFD" w:rsidRDefault="00A326DA">
      <w:pPr>
        <w:pStyle w:val="a8"/>
        <w:spacing w:line="360" w:lineRule="auto"/>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以艺通心，线上、线下宣传平台</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我们在宣传上找准发力点，自媒体粉丝数成倍增长、达到近</w:t>
      </w:r>
      <w:r>
        <w:rPr>
          <w:rFonts w:ascii="仿宋_GB2312" w:eastAsia="仿宋_GB2312" w:hAnsi="宋体" w:cs="宋体" w:hint="eastAsia"/>
          <w:color w:val="000000"/>
          <w:kern w:val="0"/>
          <w:sz w:val="32"/>
          <w:szCs w:val="32"/>
        </w:rPr>
        <w:t>2000</w:t>
      </w:r>
      <w:r>
        <w:rPr>
          <w:rFonts w:ascii="仿宋_GB2312" w:eastAsia="仿宋_GB2312" w:hAnsi="宋体" w:cs="宋体" w:hint="eastAsia"/>
          <w:color w:val="000000"/>
          <w:kern w:val="0"/>
          <w:sz w:val="32"/>
          <w:szCs w:val="32"/>
        </w:rPr>
        <w:t>万，海外社交媒体矩阵覆盖全球</w:t>
      </w:r>
      <w:r>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大洲</w:t>
      </w:r>
      <w:r>
        <w:rPr>
          <w:rFonts w:ascii="仿宋_GB2312" w:eastAsia="仿宋_GB2312" w:hAnsi="宋体" w:cs="宋体" w:hint="eastAsia"/>
          <w:color w:val="000000"/>
          <w:kern w:val="0"/>
          <w:sz w:val="32"/>
          <w:szCs w:val="32"/>
        </w:rPr>
        <w:t>175</w:t>
      </w:r>
      <w:r>
        <w:rPr>
          <w:rFonts w:ascii="仿宋_GB2312" w:eastAsia="仿宋_GB2312" w:hAnsi="宋体" w:cs="宋体" w:hint="eastAsia"/>
          <w:color w:val="000000"/>
          <w:kern w:val="0"/>
          <w:sz w:val="32"/>
          <w:szCs w:val="32"/>
        </w:rPr>
        <w:t>国家的</w:t>
      </w:r>
      <w:r>
        <w:rPr>
          <w:rFonts w:ascii="仿宋_GB2312" w:eastAsia="仿宋_GB2312" w:hAnsi="宋体" w:cs="宋体" w:hint="eastAsia"/>
          <w:color w:val="000000"/>
          <w:kern w:val="0"/>
          <w:sz w:val="32"/>
          <w:szCs w:val="32"/>
        </w:rPr>
        <w:t>1.4</w:t>
      </w:r>
      <w:r>
        <w:rPr>
          <w:rFonts w:ascii="仿宋_GB2312" w:eastAsia="仿宋_GB2312" w:hAnsi="宋体" w:cs="宋体" w:hint="eastAsia"/>
          <w:color w:val="000000"/>
          <w:kern w:val="0"/>
          <w:sz w:val="32"/>
          <w:szCs w:val="32"/>
        </w:rPr>
        <w:t>亿网友。主流媒体宣传报道约</w:t>
      </w:r>
      <w:r>
        <w:rPr>
          <w:rFonts w:ascii="仿宋_GB2312" w:eastAsia="仿宋_GB2312" w:hAnsi="宋体" w:cs="宋体" w:hint="eastAsia"/>
          <w:color w:val="000000"/>
          <w:kern w:val="0"/>
          <w:sz w:val="32"/>
          <w:szCs w:val="32"/>
        </w:rPr>
        <w:t>7000</w:t>
      </w:r>
      <w:r>
        <w:rPr>
          <w:rFonts w:ascii="仿宋_GB2312" w:eastAsia="仿宋_GB2312" w:hAnsi="宋体" w:cs="宋体" w:hint="eastAsia"/>
          <w:color w:val="000000"/>
          <w:kern w:val="0"/>
          <w:sz w:val="32"/>
          <w:szCs w:val="32"/>
        </w:rPr>
        <w:t>条次，对重点项目报道约</w:t>
      </w:r>
      <w:r>
        <w:rPr>
          <w:rFonts w:ascii="仿宋_GB2312" w:eastAsia="仿宋_GB2312" w:hAnsi="宋体" w:cs="宋体" w:hint="eastAsia"/>
          <w:color w:val="000000"/>
          <w:kern w:val="0"/>
          <w:sz w:val="32"/>
          <w:szCs w:val="32"/>
        </w:rPr>
        <w:t>3200</w:t>
      </w:r>
      <w:r>
        <w:rPr>
          <w:rFonts w:ascii="仿宋_GB2312" w:eastAsia="仿宋_GB2312" w:hAnsi="宋体" w:cs="宋体" w:hint="eastAsia"/>
          <w:color w:val="000000"/>
          <w:kern w:val="0"/>
          <w:sz w:val="32"/>
          <w:szCs w:val="32"/>
        </w:rPr>
        <w:t>余条次。中文自媒体矩阵粉丝量超</w:t>
      </w:r>
      <w:r>
        <w:rPr>
          <w:rFonts w:ascii="仿宋_GB2312" w:eastAsia="仿宋_GB2312" w:hAnsi="宋体" w:cs="宋体" w:hint="eastAsia"/>
          <w:color w:val="000000"/>
          <w:kern w:val="0"/>
          <w:sz w:val="32"/>
          <w:szCs w:val="32"/>
        </w:rPr>
        <w:t>1400</w:t>
      </w:r>
      <w:r>
        <w:rPr>
          <w:rFonts w:ascii="仿宋_GB2312" w:eastAsia="仿宋_GB2312" w:hAnsi="宋体" w:cs="宋体" w:hint="eastAsia"/>
          <w:color w:val="000000"/>
          <w:kern w:val="0"/>
          <w:sz w:val="32"/>
          <w:szCs w:val="32"/>
        </w:rPr>
        <w:t>万。将中国文化向更大范围、更广受众传播，系紧文明交流互鉴、世界美美与共的精神纽带。</w:t>
      </w:r>
    </w:p>
    <w:p w:rsidR="00276BFD" w:rsidRDefault="00A326DA">
      <w:pPr>
        <w:pStyle w:val="a8"/>
        <w:spacing w:line="360" w:lineRule="auto"/>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lastRenderedPageBreak/>
        <w:t>守正创新，主题原创艺术平台</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截至目前，国家大剧院制作剧目数量达到</w:t>
      </w:r>
      <w:r>
        <w:rPr>
          <w:rFonts w:ascii="仿宋_GB2312" w:eastAsia="仿宋_GB2312" w:hAnsi="宋体" w:cs="宋体" w:hint="eastAsia"/>
          <w:color w:val="000000"/>
          <w:kern w:val="0"/>
          <w:sz w:val="32"/>
          <w:szCs w:val="32"/>
        </w:rPr>
        <w:t>103</w:t>
      </w:r>
      <w:r>
        <w:rPr>
          <w:rFonts w:ascii="仿宋_GB2312" w:eastAsia="仿宋_GB2312" w:hAnsi="宋体" w:cs="宋体" w:hint="eastAsia"/>
          <w:color w:val="000000"/>
          <w:kern w:val="0"/>
          <w:sz w:val="32"/>
          <w:szCs w:val="32"/>
        </w:rPr>
        <w:t>部，“</w:t>
      </w:r>
      <w:r>
        <w:rPr>
          <w:rFonts w:ascii="仿宋_GB2312" w:eastAsia="仿宋_GB2312" w:hAnsi="宋体" w:cs="宋体" w:hint="eastAsia"/>
          <w:color w:val="000000"/>
          <w:kern w:val="0"/>
          <w:sz w:val="32"/>
          <w:szCs w:val="32"/>
        </w:rPr>
        <w:t>国家大剧院制作”已经成为一块极具影响力的金字招牌。其中，有弘扬革命文化的民族歌剧《映山红》</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有表现“青春”主题的歌剧《青春之歌》</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有富有东方韵味、堪称美学典范的歌剧《拉克美》</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还有广受年轻人追捧的话剧《嫌疑人福尔摩斯》</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都是全新制作的精品力作。</w:t>
      </w:r>
      <w:r>
        <w:rPr>
          <w:rFonts w:ascii="仿宋_GB2312" w:eastAsia="仿宋_GB2312" w:hAnsi="宋体" w:cs="宋体" w:hint="eastAsia"/>
          <w:color w:val="000000"/>
          <w:kern w:val="0"/>
          <w:sz w:val="32"/>
          <w:szCs w:val="32"/>
        </w:rPr>
        <w:t xml:space="preserve">  </w:t>
      </w:r>
    </w:p>
    <w:p w:rsidR="00276BFD" w:rsidRDefault="00A326DA">
      <w:pPr>
        <w:pStyle w:val="a8"/>
        <w:spacing w:line="360" w:lineRule="auto"/>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服务为民，艺术普及教育平台</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坚持艺术普及教育的融合创新“周末音乐会”“经典艺术讲堂”“走进唱片里的世界”“百场公益演出”“台湖星期音乐会”等公益品牌不断迭代升级，向全社会传递着“人人可以接触艺术，处处可以获得艺术，时时可以享受艺术”的理念。</w:t>
      </w: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年“美育芳</w:t>
      </w:r>
      <w:r>
        <w:rPr>
          <w:rFonts w:ascii="仿宋_GB2312" w:eastAsia="仿宋_GB2312" w:hAnsi="宋体" w:cs="宋体" w:hint="eastAsia"/>
          <w:color w:val="000000"/>
          <w:kern w:val="0"/>
          <w:sz w:val="32"/>
          <w:szCs w:val="32"/>
        </w:rPr>
        <w:t>草”帮助</w:t>
      </w:r>
      <w:r>
        <w:rPr>
          <w:rFonts w:ascii="仿宋_GB2312" w:eastAsia="仿宋_GB2312" w:hAnsi="宋体" w:cs="宋体" w:hint="eastAsia"/>
          <w:color w:val="000000"/>
          <w:kern w:val="0"/>
          <w:sz w:val="32"/>
          <w:szCs w:val="32"/>
        </w:rPr>
        <w:t>117</w:t>
      </w:r>
      <w:r>
        <w:rPr>
          <w:rFonts w:ascii="仿宋_GB2312" w:eastAsia="仿宋_GB2312" w:hAnsi="宋体" w:cs="宋体" w:hint="eastAsia"/>
          <w:color w:val="000000"/>
          <w:kern w:val="0"/>
          <w:sz w:val="32"/>
          <w:szCs w:val="32"/>
        </w:rPr>
        <w:t>所学校</w:t>
      </w:r>
      <w:r>
        <w:rPr>
          <w:rFonts w:ascii="仿宋_GB2312" w:eastAsia="仿宋_GB2312" w:hAnsi="宋体" w:cs="宋体" w:hint="eastAsia"/>
          <w:color w:val="000000"/>
          <w:kern w:val="0"/>
          <w:sz w:val="32"/>
          <w:szCs w:val="32"/>
        </w:rPr>
        <w:t>6000</w:t>
      </w:r>
      <w:r>
        <w:rPr>
          <w:rFonts w:ascii="仿宋_GB2312" w:eastAsia="仿宋_GB2312" w:hAnsi="宋体" w:cs="宋体" w:hint="eastAsia"/>
          <w:color w:val="000000"/>
          <w:kern w:val="0"/>
          <w:sz w:val="32"/>
          <w:szCs w:val="32"/>
        </w:rPr>
        <w:t>余名学生登上了大剧院舞台，</w:t>
      </w:r>
      <w:r>
        <w:rPr>
          <w:rFonts w:ascii="仿宋_GB2312" w:eastAsia="仿宋_GB2312" w:hAnsi="宋体" w:cs="宋体" w:hint="eastAsia"/>
          <w:color w:val="000000"/>
          <w:kern w:val="0"/>
          <w:sz w:val="32"/>
          <w:szCs w:val="32"/>
        </w:rPr>
        <w:t xml:space="preserve">3.8 </w:t>
      </w:r>
      <w:r>
        <w:rPr>
          <w:rFonts w:ascii="仿宋_GB2312" w:eastAsia="仿宋_GB2312" w:hAnsi="宋体" w:cs="宋体" w:hint="eastAsia"/>
          <w:color w:val="000000"/>
          <w:kern w:val="0"/>
          <w:sz w:val="32"/>
          <w:szCs w:val="32"/>
        </w:rPr>
        <w:t>万师生现场观摩了演出。我们践行公共文化服务均衡化理念，阔别三年的首个线下“公众开放日艺术节”在“三址”并蒂开花，呈现百余场形式多样、精彩绝伦的艺术活动，万余名群众温暖相聚，享受艺术的魅力。我们将美育服务向远郊区延伸，全年走进</w:t>
      </w:r>
      <w:r>
        <w:rPr>
          <w:rFonts w:ascii="仿宋_GB2312" w:eastAsia="仿宋_GB2312" w:hAnsi="宋体" w:cs="宋体" w:hint="eastAsia"/>
          <w:color w:val="000000"/>
          <w:kern w:val="0"/>
          <w:sz w:val="32"/>
          <w:szCs w:val="32"/>
        </w:rPr>
        <w:t xml:space="preserve"> 50</w:t>
      </w:r>
      <w:r>
        <w:rPr>
          <w:rFonts w:ascii="仿宋_GB2312" w:eastAsia="仿宋_GB2312" w:hAnsi="宋体" w:cs="宋体" w:hint="eastAsia"/>
          <w:color w:val="000000"/>
          <w:kern w:val="0"/>
          <w:sz w:val="32"/>
          <w:szCs w:val="32"/>
        </w:rPr>
        <w:t>余家郊区单位，极大丰富了当地群众的文化生活。</w:t>
      </w:r>
    </w:p>
    <w:p w:rsidR="00276BFD" w:rsidRDefault="00A326DA">
      <w:pPr>
        <w:pStyle w:val="a8"/>
        <w:spacing w:line="360" w:lineRule="auto"/>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多元协同，综合艺术展示平台</w:t>
      </w:r>
    </w:p>
    <w:p w:rsidR="00276BFD" w:rsidRDefault="00A326DA">
      <w:pPr>
        <w:pStyle w:val="a8"/>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42</w:t>
      </w:r>
      <w:r>
        <w:rPr>
          <w:rFonts w:ascii="仿宋_GB2312" w:eastAsia="仿宋_GB2312" w:hAnsi="宋体" w:cs="宋体" w:hint="eastAsia"/>
          <w:color w:val="000000"/>
          <w:kern w:val="0"/>
          <w:sz w:val="32"/>
          <w:szCs w:val="32"/>
        </w:rPr>
        <w:t>场主题艺术展览贯穿全年，囊括非遗文化、刻板印刷、中国戏曲、数字艺术、民族器乐、西方绘画、舞台美术等不</w:t>
      </w:r>
      <w:r>
        <w:rPr>
          <w:rFonts w:ascii="仿宋_GB2312" w:eastAsia="仿宋_GB2312" w:hAnsi="宋体" w:cs="宋体" w:hint="eastAsia"/>
          <w:color w:val="000000"/>
          <w:kern w:val="0"/>
          <w:sz w:val="32"/>
          <w:szCs w:val="32"/>
        </w:rPr>
        <w:lastRenderedPageBreak/>
        <w:t>同风格、不同形式的艺术之美，观众满意度超过</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。精心策划“京韵·婺</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风——非物质文化遗产南北交流展”“荣宝斋</w:t>
      </w:r>
      <w:r>
        <w:rPr>
          <w:rFonts w:ascii="仿宋_GB2312" w:eastAsia="仿宋_GB2312" w:hAnsi="宋体" w:cs="宋体" w:hint="eastAsia"/>
          <w:color w:val="000000"/>
          <w:kern w:val="0"/>
          <w:sz w:val="32"/>
          <w:szCs w:val="32"/>
        </w:rPr>
        <w:t>350</w:t>
      </w:r>
      <w:r>
        <w:rPr>
          <w:rFonts w:ascii="仿宋_GB2312" w:eastAsia="仿宋_GB2312" w:hAnsi="宋体" w:cs="宋体" w:hint="eastAsia"/>
          <w:color w:val="000000"/>
          <w:kern w:val="0"/>
          <w:sz w:val="32"/>
          <w:szCs w:val="32"/>
        </w:rPr>
        <w:t>周年木板水印</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当代艺术主题展”“国粹丹青——北京中轴线梨园文化专题美术展”等，由表及里展现中华传统文化魅力。推出“时代的容颜—</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一东京富士美术馆藏西方人物绘画精品展”“宽阔的现实主义：中国与西班牙当代油画展”“蒸汽时代的回响——维多利亚时期的艺术”等特展，运用多维视角传递视觉艺术独特的审美价值。拍摄完成首部</w:t>
      </w:r>
      <w:r>
        <w:rPr>
          <w:rFonts w:ascii="仿宋_GB2312" w:eastAsia="仿宋_GB2312" w:hAnsi="宋体" w:cs="宋体" w:hint="eastAsia"/>
          <w:color w:val="000000"/>
          <w:kern w:val="0"/>
          <w:sz w:val="32"/>
          <w:szCs w:val="32"/>
        </w:rPr>
        <w:t xml:space="preserve">4K </w:t>
      </w:r>
      <w:r>
        <w:rPr>
          <w:rFonts w:ascii="仿宋_GB2312" w:eastAsia="仿宋_GB2312" w:hAnsi="宋体" w:cs="宋体" w:hint="eastAsia"/>
          <w:color w:val="000000"/>
          <w:kern w:val="0"/>
          <w:sz w:val="32"/>
          <w:szCs w:val="32"/>
        </w:rPr>
        <w:t>纪录电影《永不落幕的舞台》</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生动诠释大剧院多远艺术形态。</w:t>
      </w:r>
    </w:p>
    <w:p w:rsidR="00276BFD" w:rsidRDefault="00A326DA">
      <w:pPr>
        <w:pStyle w:val="a8"/>
        <w:spacing w:line="360" w:lineRule="auto"/>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引领示范，表演艺术中心平台</w:t>
      </w:r>
    </w:p>
    <w:p w:rsidR="00276BFD" w:rsidRDefault="00A326DA">
      <w:pPr>
        <w:pStyle w:val="a8"/>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color w:val="000000"/>
          <w:kern w:val="0"/>
          <w:sz w:val="32"/>
          <w:szCs w:val="32"/>
        </w:rPr>
        <w:t>我院贯彻落实中央、市委指示精神，加速</w:t>
      </w:r>
      <w:r>
        <w:rPr>
          <w:rFonts w:ascii="仿宋_GB2312" w:eastAsia="仿宋_GB2312" w:hAnsi="宋体" w:cs="宋体" w:hint="eastAsia"/>
          <w:color w:val="000000"/>
          <w:kern w:val="0"/>
          <w:sz w:val="32"/>
          <w:szCs w:val="32"/>
        </w:rPr>
        <w:t>北京艺术中心建设，推进</w:t>
      </w:r>
      <w:r>
        <w:rPr>
          <w:rFonts w:ascii="仿宋_GB2312" w:eastAsia="仿宋_GB2312" w:hAnsi="宋体" w:cs="宋体" w:hint="eastAsia"/>
          <w:kern w:val="0"/>
          <w:sz w:val="32"/>
          <w:szCs w:val="32"/>
        </w:rPr>
        <w:t>北京艺术中心盛大启幕，全面建成“一院三址”</w:t>
      </w:r>
    </w:p>
    <w:p w:rsidR="00276BFD" w:rsidRDefault="00A326DA">
      <w:pPr>
        <w:pStyle w:val="a8"/>
        <w:spacing w:line="360" w:lineRule="auto"/>
        <w:ind w:firstLine="0"/>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发展的新格局。</w:t>
      </w:r>
      <w:r>
        <w:rPr>
          <w:rFonts w:ascii="仿宋_GB2312" w:eastAsia="仿宋_GB2312" w:hAnsi="宋体" w:cs="宋体" w:hint="eastAsia"/>
          <w:kern w:val="0"/>
          <w:sz w:val="32"/>
          <w:szCs w:val="32"/>
        </w:rPr>
        <w:t>进一步提高北京艺术中心的空间使用效率，丰富文化产品供给，呈现更多现代、开放、创新的文艺作品，策划举办户外音乐节、家庭音乐会等文旅活动，以及艺术领域国际赛事、会展等，</w:t>
      </w:r>
      <w:r>
        <w:rPr>
          <w:rFonts w:ascii="仿宋_GB2312" w:eastAsia="仿宋_GB2312" w:hAnsi="宋体" w:cs="宋体" w:hint="eastAsia"/>
          <w:kern w:val="0"/>
          <w:sz w:val="32"/>
          <w:szCs w:val="32"/>
        </w:rPr>
        <w:t>以细致</w:t>
      </w:r>
      <w:r>
        <w:rPr>
          <w:rFonts w:ascii="仿宋_GB2312" w:eastAsia="仿宋_GB2312" w:hAnsi="宋体" w:cs="宋体" w:hint="eastAsia"/>
          <w:color w:val="000000"/>
          <w:kern w:val="0"/>
          <w:sz w:val="32"/>
          <w:szCs w:val="32"/>
        </w:rPr>
        <w:t>精</w:t>
      </w:r>
      <w:bookmarkStart w:id="3" w:name="_GoBack"/>
      <w:bookmarkEnd w:id="3"/>
      <w:r>
        <w:rPr>
          <w:rFonts w:ascii="仿宋_GB2312" w:eastAsia="仿宋_GB2312" w:hAnsi="宋体" w:cs="宋体" w:hint="eastAsia"/>
          <w:color w:val="000000"/>
          <w:kern w:val="0"/>
          <w:sz w:val="32"/>
          <w:szCs w:val="32"/>
        </w:rPr>
        <w:t>当的品牌战略，持续打造“表演艺术中心平台，不断推动大剧院全面高质量发展，在社会主义文化强国建设和中华民族现代文明建设中展现新气象新作为。</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生态效益</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我院认真贯彻落实国家双碳政策，剧院本部和台湖舞美</w:t>
      </w:r>
      <w:r>
        <w:rPr>
          <w:rFonts w:ascii="仿宋_GB2312" w:eastAsia="仿宋_GB2312" w:hAnsi="宋体" w:cs="宋体" w:hint="eastAsia"/>
          <w:color w:val="000000"/>
          <w:kern w:val="0"/>
          <w:sz w:val="32"/>
          <w:szCs w:val="32"/>
        </w:rPr>
        <w:lastRenderedPageBreak/>
        <w:t>艺术中心用能统筹协调管理，节能降耗，多措并举，节能管理成效显著。积极开展绿色创建活动，倡导绿色组织文化，切实将“双碳”战略的绿色、环保、低碳的生活方式逐步在剧院付诸实践，以节能倡议、组织培训等方式，提高全员节能降耗意识。</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可持续影响</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圆满举办世界交响乐北京论坛、台湖舞美国际论坛，形成系列合作成果，达成行业重要共识，得到了中央、北京市的有力指导和全球同行的高度赞誉，推动了人类命运共同体理念在表演艺术领域落地生根。长期与各国驻华使馆保持友好往来，高规格接待</w:t>
      </w:r>
      <w:r>
        <w:rPr>
          <w:rFonts w:ascii="仿宋_GB2312" w:eastAsia="仿宋_GB2312" w:hAnsi="宋体" w:cs="宋体" w:hint="eastAsia"/>
          <w:color w:val="000000"/>
          <w:kern w:val="0"/>
          <w:sz w:val="32"/>
          <w:szCs w:val="32"/>
        </w:rPr>
        <w:t>俄罗斯、法国、阿塞拜疆、古巴、德国等多国政要，以及朝鲜、土耳其、乌兹别</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克斯坦等</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国驻华使节到访交流，积极促成费城交响乐团来京开启纪念访华</w:t>
      </w:r>
      <w:r>
        <w:rPr>
          <w:rFonts w:ascii="仿宋_GB2312" w:eastAsia="仿宋_GB2312" w:hAnsi="宋体" w:cs="宋体" w:hint="eastAsia"/>
          <w:color w:val="000000"/>
          <w:kern w:val="0"/>
          <w:sz w:val="32"/>
          <w:szCs w:val="32"/>
        </w:rPr>
        <w:t>50</w:t>
      </w:r>
      <w:r>
        <w:rPr>
          <w:rFonts w:ascii="仿宋_GB2312" w:eastAsia="仿宋_GB2312" w:hAnsi="宋体" w:cs="宋体" w:hint="eastAsia"/>
          <w:color w:val="000000"/>
          <w:kern w:val="0"/>
          <w:sz w:val="32"/>
          <w:szCs w:val="32"/>
        </w:rPr>
        <w:t>周年巡演，与俄罗斯驻华使馆联合举办音乐会，与波兰驻华使馆共同策划公益演出，举办“哈萨克斯坦文化日”专</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场演出，高水平服务大国外交。我们不断扩大文化交流版图，与以文化共建拉紧“一带一路”国家团结合作的精神纽带，发展合作的“朋友圈”</w:t>
      </w: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越交越广。以心相交，成其久远。我们以开放的姿态与包容的胸怀，进一步增强文化认同，彰显文化自信。</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服务对象满意度</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我们立足多元视角，努</w:t>
      </w:r>
      <w:r>
        <w:rPr>
          <w:rFonts w:ascii="仿宋_GB2312" w:eastAsia="仿宋_GB2312" w:hAnsi="宋体" w:cs="宋体" w:hint="eastAsia"/>
          <w:color w:val="000000"/>
          <w:kern w:val="0"/>
          <w:sz w:val="32"/>
          <w:szCs w:val="32"/>
        </w:rPr>
        <w:t>力将大剧院打造成为一座功能全</w:t>
      </w:r>
      <w:r>
        <w:rPr>
          <w:rFonts w:ascii="仿宋_GB2312" w:eastAsia="仿宋_GB2312" w:hAnsi="宋体" w:cs="宋体" w:hint="eastAsia"/>
          <w:color w:val="000000"/>
          <w:kern w:val="0"/>
          <w:sz w:val="32"/>
          <w:szCs w:val="32"/>
        </w:rPr>
        <w:lastRenderedPageBreak/>
        <w:t>面的艺术“综合体”，呈现不同风格、不同形式的艺术之美，由表及里展现中华传统文化魅力，运用多维视角传递视觉艺术独特的审美价值，艺术教育活动质量及剧场服务水平满意度达到</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以上，反映良好。</w:t>
      </w:r>
    </w:p>
    <w:p w:rsidR="00276BFD" w:rsidRDefault="00A326DA">
      <w:pPr>
        <w:pStyle w:val="1"/>
        <w:ind w:firstLine="643"/>
      </w:pPr>
      <w:bookmarkStart w:id="4" w:name="_Toc24438"/>
      <w:r>
        <w:rPr>
          <w:rFonts w:hint="eastAsia"/>
        </w:rPr>
        <w:t>四</w:t>
      </w:r>
      <w:r>
        <w:t>、预算管理</w:t>
      </w:r>
      <w:r>
        <w:rPr>
          <w:rFonts w:hint="eastAsia"/>
        </w:rPr>
        <w:t>情况分</w:t>
      </w:r>
      <w:r>
        <w:t>析</w:t>
      </w:r>
      <w:bookmarkEnd w:id="4"/>
    </w:p>
    <w:p w:rsidR="00276BFD" w:rsidRDefault="00A326DA">
      <w:pPr>
        <w:pStyle w:val="20"/>
        <w:ind w:firstLine="643"/>
      </w:pPr>
      <w:r>
        <w:rPr>
          <w:rFonts w:hint="eastAsia"/>
        </w:rPr>
        <w:t>（一）财务管理</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我院在财务管理方面展现出高度的责任感和严谨性，严格贯彻了中央及北京市的各项财务管理法律法规与制度要求。在预算管理、</w:t>
      </w:r>
      <w:r>
        <w:rPr>
          <w:rFonts w:ascii="仿宋_GB2312" w:eastAsia="仿宋_GB2312" w:hAnsi="宋体" w:cs="宋体" w:hint="eastAsia"/>
          <w:color w:val="000000"/>
          <w:kern w:val="0"/>
          <w:sz w:val="32"/>
          <w:szCs w:val="32"/>
        </w:rPr>
        <w:t>采购管理</w:t>
      </w:r>
      <w:r>
        <w:rPr>
          <w:rFonts w:ascii="仿宋_GB2312" w:eastAsia="仿宋_GB2312" w:hAnsi="宋体" w:cs="宋体" w:hint="eastAsia"/>
          <w:color w:val="000000"/>
          <w:kern w:val="0"/>
          <w:sz w:val="32"/>
          <w:szCs w:val="32"/>
        </w:rPr>
        <w:t>等关键领域，精心制定并出台了一系列内部管理制度，以确保财务管理的科学化和规范化。健全的财务管理制度不仅提升了管理效率，也进一步强化了财务风险的防控能力。为便于工作人员了解和掌握相关管理规定，我院还精心编印了《内部控制手册》，作为内部管理的重要参考资料，为规范财务管理提供了有力的制度保障。</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资金使用方面，内部控制体系贯穿我院经济活动的决策、执行和监督全过程，实现对经济活动的全面控制，合理保证单位经济活动合法合规、资产安全和使用有效。一是在岗位设置方面，按照“职务分离、钱账分离、物</w:t>
      </w:r>
      <w:r>
        <w:rPr>
          <w:rFonts w:ascii="仿宋_GB2312" w:eastAsia="仿宋_GB2312" w:hAnsi="宋体" w:cs="宋体" w:hint="eastAsia"/>
          <w:color w:val="000000"/>
          <w:kern w:val="0"/>
          <w:sz w:val="32"/>
          <w:szCs w:val="32"/>
        </w:rPr>
        <w:t>账分离”原则，使相应不相容岗位之间相互制约、相互监督，保障了资金使用的安全性。二是在资金支出审批环节，严格按照各级</w:t>
      </w:r>
      <w:r>
        <w:rPr>
          <w:rFonts w:ascii="仿宋_GB2312" w:eastAsia="仿宋_GB2312" w:hAnsi="宋体" w:cs="宋体" w:hint="eastAsia"/>
          <w:color w:val="000000"/>
          <w:kern w:val="0"/>
          <w:sz w:val="32"/>
          <w:szCs w:val="32"/>
        </w:rPr>
        <w:lastRenderedPageBreak/>
        <w:t>领导“分工负责、分级审批”原则，对于超范围、超标准、不符合相关规定的支出不予审批，强化事前控制。三是在会计核算环节，加强支出审批控制，明确支出内部审批权限、程序、责任和相关控制措施，财务人员严格审核原始凭证，对未按规定执行的、单据不全的、手续不完备的原始凭证以及未审批完成的经费支出业务拒绝办理，保障资金使用的合规性。</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在财务管理和会计工作中，会计基础信息的完善性对于确保财</w:t>
      </w:r>
      <w:r>
        <w:rPr>
          <w:rFonts w:ascii="仿宋_GB2312" w:eastAsia="仿宋_GB2312" w:hAnsi="宋体" w:cs="宋体" w:hint="eastAsia"/>
          <w:color w:val="000000"/>
          <w:kern w:val="0"/>
          <w:sz w:val="32"/>
          <w:szCs w:val="32"/>
        </w:rPr>
        <w:t>务报告的准确性、透明度和合规性至关重要。我院会计基础工作扎实，能够严格根据各类经济业务实际，按照《会计法》和《会计基础工作规范》等要求开展会计核算，保证了各项财务会计信息的真实、完整、准确。一是提升会计人员的专业性。不断加强会计人员的专业理论学习，熟悉和掌握其中的法律、法规、制度以及各类规定，使其不断更新业务知识，提高业务素质，扎扎实实地依法做好会计基础工作。二是保证原始凭证的规范性。不断强化原始凭证的格式、内容、填制方法、审核程序等的要求，符合会计制度要求；三是保障财务资料的完整性。财务部定期对各项会计档</w:t>
      </w:r>
      <w:r>
        <w:rPr>
          <w:rFonts w:ascii="仿宋_GB2312" w:eastAsia="仿宋_GB2312" w:hAnsi="宋体" w:cs="宋体" w:hint="eastAsia"/>
          <w:color w:val="000000"/>
          <w:kern w:val="0"/>
          <w:sz w:val="32"/>
          <w:szCs w:val="32"/>
        </w:rPr>
        <w:t>案整理立卷，装订成册，并通过信息化手段加强对会计档案的管理备份，妥善保管，调阅和销毁符合规定手续。精心编制财务资料，严格把控每一项基础数据信息和会计信息资料的真实</w:t>
      </w:r>
      <w:r>
        <w:rPr>
          <w:rFonts w:ascii="仿宋_GB2312" w:eastAsia="仿宋_GB2312" w:hAnsi="宋体" w:cs="宋体" w:hint="eastAsia"/>
          <w:color w:val="000000"/>
          <w:kern w:val="0"/>
          <w:sz w:val="32"/>
          <w:szCs w:val="32"/>
        </w:rPr>
        <w:lastRenderedPageBreak/>
        <w:t>性、准确性及完整性，为财务报告的可靠性提供了坚实保障。</w:t>
      </w:r>
    </w:p>
    <w:p w:rsidR="00276BFD" w:rsidRDefault="00A326DA">
      <w:pPr>
        <w:pStyle w:val="20"/>
        <w:ind w:firstLine="643"/>
      </w:pPr>
      <w:r>
        <w:rPr>
          <w:rFonts w:hint="eastAsia"/>
        </w:rPr>
        <w:t>（二）资产管理</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我院建立了健全的资产管理制度，明确了各类资产的管理责任和使用规范。为了加强固定资产管理，维护固定资产安全、完整，确保固定资产得到合理配置和有效使用，我院制定了《国家大剧院固定资产管理办法》，明确了固定资产配置、回收、处置等各环节资产管理要求，定期对资产进行清查盘点，做到账账、账</w:t>
      </w:r>
      <w:r>
        <w:rPr>
          <w:rFonts w:ascii="仿宋_GB2312" w:eastAsia="仿宋_GB2312" w:hAnsi="宋体" w:cs="宋体" w:hint="eastAsia"/>
          <w:color w:val="000000"/>
          <w:kern w:val="0"/>
          <w:sz w:val="32"/>
          <w:szCs w:val="32"/>
        </w:rPr>
        <w:t>卡、账实相符，确保资产安全完整。通过定期盘点、清查和评估，确保资产的账实相符，防止资产的流失和损坏。此外，我院还不断加强资产的日常维护和保养，以延长资产的使用寿命，降低运维成本。</w:t>
      </w:r>
    </w:p>
    <w:p w:rsidR="00276BFD" w:rsidRDefault="00A326DA">
      <w:pPr>
        <w:pStyle w:val="20"/>
        <w:ind w:firstLine="643"/>
      </w:pPr>
      <w:r>
        <w:rPr>
          <w:rFonts w:hint="eastAsia"/>
        </w:rPr>
        <w:t>（三）绩效</w:t>
      </w:r>
      <w:r>
        <w:t>管理</w:t>
      </w:r>
    </w:p>
    <w:p w:rsidR="00276BFD" w:rsidRDefault="00A326DA">
      <w:pPr>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深入贯彻落实全面预算绩效管理和“过紧日子”的有关文件精神，紧紧围绕“预算编制有目标、预算执行有监控、预算完成有评价、评价结果有反馈、反馈结果有应用”的预算绩效管理要求，我院已建立相关工作机制，进一步推进了预算绩效管理工作，提高资金使用效益。</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严把预算申报审核关</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按照市财政局要求</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年预算项目均填报了绩效目标申报表，</w:t>
      </w:r>
      <w:r>
        <w:rPr>
          <w:rFonts w:ascii="仿宋_GB2312" w:eastAsia="仿宋_GB2312" w:hAnsi="宋体" w:cs="宋体" w:hint="eastAsia"/>
          <w:color w:val="000000"/>
          <w:kern w:val="0"/>
          <w:sz w:val="32"/>
          <w:szCs w:val="32"/>
        </w:rPr>
        <w:t>并与</w:t>
      </w:r>
      <w:r>
        <w:rPr>
          <w:rFonts w:ascii="仿宋_GB2312" w:eastAsia="仿宋_GB2312" w:hAnsi="宋体" w:cs="宋体" w:hint="eastAsia"/>
          <w:color w:val="000000"/>
          <w:kern w:val="0"/>
          <w:sz w:val="32"/>
          <w:szCs w:val="32"/>
        </w:rPr>
        <w:t>部门预算一并公开。</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强化事中绩效运行监控</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在预算执行过程中，开展部门绩效运行监控工作，对预</w:t>
      </w:r>
      <w:r>
        <w:rPr>
          <w:rFonts w:ascii="仿宋_GB2312" w:eastAsia="仿宋_GB2312" w:hAnsi="宋体" w:cs="宋体" w:hint="eastAsia"/>
          <w:color w:val="000000"/>
          <w:kern w:val="0"/>
          <w:sz w:val="32"/>
          <w:szCs w:val="32"/>
        </w:rPr>
        <w:lastRenderedPageBreak/>
        <w:t>算执行情况和绩效目标实现程度开展监督、控制和管理活动。加强对绩效目标完成情况的跟踪管理、督促检查，对预算执行与绩效目标偏离情况及时向各部门反馈，并督促整改。</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加强事后绩效评价监督</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对</w:t>
      </w:r>
      <w:r>
        <w:rPr>
          <w:rFonts w:ascii="仿宋_GB2312" w:eastAsia="仿宋_GB2312" w:hAnsi="宋体" w:cs="宋体" w:hint="eastAsia"/>
          <w:color w:val="000000"/>
          <w:kern w:val="0"/>
          <w:sz w:val="32"/>
          <w:szCs w:val="32"/>
        </w:rPr>
        <w:t>2023</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78</w:t>
      </w:r>
      <w:r>
        <w:rPr>
          <w:rFonts w:ascii="仿宋_GB2312" w:eastAsia="仿宋_GB2312" w:hAnsi="宋体" w:cs="宋体" w:hint="eastAsia"/>
          <w:color w:val="000000"/>
          <w:kern w:val="0"/>
          <w:sz w:val="32"/>
          <w:szCs w:val="32"/>
        </w:rPr>
        <w:t>个预算项目实施了绩效自评，其中“设备购置及工程维修支出”进行了部门重点绩效评价，对项目决策过程的合理性、管理体系的规范性、绩效目标实现程度进行综合评价，梳理项目决策、管理</w:t>
      </w:r>
      <w:r>
        <w:rPr>
          <w:rFonts w:ascii="仿宋_GB2312" w:eastAsia="仿宋_GB2312" w:hAnsi="宋体" w:cs="宋体" w:hint="eastAsia"/>
          <w:color w:val="000000"/>
          <w:kern w:val="0"/>
          <w:sz w:val="32"/>
          <w:szCs w:val="32"/>
        </w:rPr>
        <w:t>过程及绩效实现情况中存在的问题，加强了项目预算绩效管理水平。</w:t>
      </w:r>
    </w:p>
    <w:p w:rsidR="00276BFD" w:rsidRDefault="00A326DA">
      <w:pPr>
        <w:pStyle w:val="20"/>
        <w:ind w:firstLine="643"/>
      </w:pPr>
      <w:r>
        <w:rPr>
          <w:rFonts w:hint="eastAsia"/>
        </w:rPr>
        <w:t>（四）结转结余率</w:t>
      </w:r>
    </w:p>
    <w:p w:rsidR="00276BFD" w:rsidRDefault="00A326DA">
      <w:pPr>
        <w:pStyle w:val="20"/>
        <w:ind w:firstLine="640"/>
        <w:rPr>
          <w:rFonts w:ascii="仿宋_GB2312" w:hAnsi="宋体" w:cs="宋体"/>
          <w:b w:val="0"/>
          <w:color w:val="000000" w:themeColor="text1"/>
        </w:rPr>
      </w:pPr>
      <w:r>
        <w:rPr>
          <w:rFonts w:ascii="仿宋_GB2312" w:hAnsi="宋体" w:cs="宋体" w:hint="eastAsia"/>
          <w:b w:val="0"/>
          <w:color w:val="000000" w:themeColor="text1"/>
        </w:rPr>
        <w:t>剔</w:t>
      </w:r>
      <w:r>
        <w:rPr>
          <w:rFonts w:ascii="仿宋_GB2312" w:hAnsi="宋体" w:cs="宋体" w:hint="eastAsia"/>
          <w:b w:val="0"/>
          <w:color w:val="000000" w:themeColor="text1"/>
        </w:rPr>
        <w:t>除</w:t>
      </w:r>
      <w:r>
        <w:rPr>
          <w:rFonts w:ascii="仿宋_GB2312" w:hAnsi="宋体" w:cs="宋体" w:hint="eastAsia"/>
          <w:b w:val="0"/>
          <w:color w:val="000000" w:themeColor="text1"/>
        </w:rPr>
        <w:t>2024</w:t>
      </w:r>
      <w:r>
        <w:rPr>
          <w:rFonts w:ascii="仿宋_GB2312" w:hAnsi="宋体" w:cs="宋体" w:hint="eastAsia"/>
          <w:b w:val="0"/>
          <w:color w:val="000000" w:themeColor="text1"/>
        </w:rPr>
        <w:t>年安排使用非财政拨款结余资金及年中追加结转至</w:t>
      </w:r>
      <w:r>
        <w:rPr>
          <w:rFonts w:ascii="仿宋_GB2312" w:hAnsi="宋体" w:cs="宋体" w:hint="eastAsia"/>
          <w:b w:val="0"/>
          <w:color w:val="000000" w:themeColor="text1"/>
        </w:rPr>
        <w:t>2024</w:t>
      </w:r>
      <w:r>
        <w:rPr>
          <w:rFonts w:ascii="仿宋_GB2312" w:hAnsi="宋体" w:cs="宋体" w:hint="eastAsia"/>
          <w:b w:val="0"/>
          <w:color w:val="000000" w:themeColor="text1"/>
        </w:rPr>
        <w:t>年财政资金，</w:t>
      </w:r>
      <w:r>
        <w:rPr>
          <w:rFonts w:ascii="仿宋_GB2312" w:hAnsi="宋体" w:cs="宋体" w:hint="eastAsia"/>
          <w:b w:val="0"/>
          <w:color w:val="000000" w:themeColor="text1"/>
        </w:rPr>
        <w:t>2023</w:t>
      </w:r>
      <w:r>
        <w:rPr>
          <w:rFonts w:ascii="仿宋_GB2312" w:hAnsi="宋体" w:cs="宋体" w:hint="eastAsia"/>
          <w:b w:val="0"/>
          <w:color w:val="000000" w:themeColor="text1"/>
        </w:rPr>
        <w:t>年度“年末结转结余资金”为</w:t>
      </w:r>
      <w:r>
        <w:rPr>
          <w:rFonts w:ascii="仿宋_GB2312" w:hAnsi="宋体" w:cs="宋体" w:hint="eastAsia"/>
          <w:b w:val="0"/>
          <w:color w:val="000000" w:themeColor="text1"/>
        </w:rPr>
        <w:t>15,783.25</w:t>
      </w:r>
      <w:r>
        <w:rPr>
          <w:rFonts w:ascii="仿宋_GB2312" w:hAnsi="宋体" w:cs="宋体" w:hint="eastAsia"/>
          <w:b w:val="0"/>
          <w:color w:val="000000" w:themeColor="text1"/>
        </w:rPr>
        <w:t>万元，结转结余率为</w:t>
      </w:r>
      <w:r>
        <w:rPr>
          <w:rFonts w:ascii="仿宋_GB2312" w:hAnsi="宋体" w:cs="宋体" w:hint="eastAsia"/>
          <w:b w:val="0"/>
          <w:color w:val="000000" w:themeColor="text1"/>
        </w:rPr>
        <w:t>13.70%</w:t>
      </w:r>
      <w:r>
        <w:rPr>
          <w:rFonts w:ascii="仿宋_GB2312" w:hAnsi="宋体" w:cs="宋体" w:hint="eastAsia"/>
          <w:b w:val="0"/>
          <w:color w:val="000000" w:themeColor="text1"/>
        </w:rPr>
        <w:t>。</w:t>
      </w:r>
    </w:p>
    <w:p w:rsidR="00276BFD" w:rsidRDefault="00A326DA">
      <w:pPr>
        <w:pStyle w:val="20"/>
        <w:ind w:firstLine="643"/>
      </w:pPr>
      <w:r>
        <w:rPr>
          <w:rFonts w:hint="eastAsia"/>
        </w:rPr>
        <w:t>（五）部门</w:t>
      </w:r>
      <w:r>
        <w:t>预决算差异率</w:t>
      </w:r>
    </w:p>
    <w:p w:rsidR="00276BFD" w:rsidRDefault="00A326DA">
      <w:pPr>
        <w:spacing w:line="360" w:lineRule="auto"/>
        <w:ind w:leftChars="50" w:left="105"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2023</w:t>
      </w:r>
      <w:r>
        <w:rPr>
          <w:rFonts w:ascii="仿宋_GB2312" w:eastAsia="仿宋_GB2312" w:hAnsi="宋体" w:cs="宋体" w:hint="eastAsia"/>
          <w:color w:val="000000" w:themeColor="text1"/>
          <w:kern w:val="0"/>
          <w:sz w:val="32"/>
          <w:szCs w:val="32"/>
        </w:rPr>
        <w:t>年预决算差异率为</w:t>
      </w:r>
      <w:r w:rsidRPr="00641BA0">
        <w:rPr>
          <w:rFonts w:ascii="仿宋_GB2312" w:eastAsia="仿宋_GB2312" w:hAnsi="宋体" w:cs="宋体" w:hint="eastAsia"/>
          <w:color w:val="000000" w:themeColor="text1"/>
          <w:kern w:val="0"/>
          <w:sz w:val="32"/>
          <w:szCs w:val="32"/>
        </w:rPr>
        <w:t>4.71%</w:t>
      </w:r>
      <w:r w:rsidRPr="00641BA0">
        <w:rPr>
          <w:rFonts w:ascii="仿宋_GB2312" w:eastAsia="仿宋_GB2312" w:hAnsi="宋体" w:cs="宋体" w:hint="eastAsia"/>
          <w:color w:val="000000" w:themeColor="text1"/>
          <w:kern w:val="0"/>
          <w:sz w:val="32"/>
          <w:szCs w:val="32"/>
        </w:rPr>
        <w:t>。</w:t>
      </w:r>
    </w:p>
    <w:p w:rsidR="00276BFD" w:rsidRDefault="00A326DA">
      <w:pPr>
        <w:pStyle w:val="1"/>
        <w:ind w:firstLine="643"/>
      </w:pPr>
      <w:bookmarkStart w:id="5" w:name="_Toc28535"/>
      <w:r>
        <w:rPr>
          <w:rFonts w:hint="eastAsia"/>
        </w:rPr>
        <w:t>五、总体</w:t>
      </w:r>
      <w:r>
        <w:t>评价结论</w:t>
      </w:r>
      <w:bookmarkEnd w:id="5"/>
    </w:p>
    <w:p w:rsidR="00276BFD" w:rsidRDefault="00A326DA">
      <w:pPr>
        <w:pStyle w:val="20"/>
        <w:ind w:firstLine="643"/>
      </w:pPr>
      <w:r>
        <w:rPr>
          <w:rFonts w:hint="eastAsia"/>
        </w:rPr>
        <w:t>（一）评价</w:t>
      </w:r>
      <w:r>
        <w:t>得分</w:t>
      </w:r>
      <w:r>
        <w:rPr>
          <w:rFonts w:hint="eastAsia"/>
        </w:rPr>
        <w:t>情况</w:t>
      </w:r>
    </w:p>
    <w:p w:rsidR="00276BFD" w:rsidRDefault="00A326DA">
      <w:pPr>
        <w:spacing w:line="360" w:lineRule="auto"/>
        <w:ind w:leftChars="50" w:left="105"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本次部门整体绩效评价通过全面、客观的分析，最终得分为</w:t>
      </w:r>
      <w:r>
        <w:rPr>
          <w:rFonts w:ascii="仿宋_GB2312" w:eastAsia="仿宋_GB2312" w:hAnsi="宋体" w:cs="宋体" w:hint="eastAsia"/>
          <w:color w:val="000000" w:themeColor="text1"/>
          <w:kern w:val="0"/>
          <w:sz w:val="32"/>
          <w:szCs w:val="32"/>
        </w:rPr>
        <w:t>9</w:t>
      </w:r>
      <w:r>
        <w:rPr>
          <w:rFonts w:ascii="仿宋_GB2312" w:eastAsia="仿宋_GB2312" w:hAnsi="宋体" w:cs="宋体" w:hint="eastAsia"/>
          <w:color w:val="000000" w:themeColor="text1"/>
          <w:kern w:val="0"/>
          <w:sz w:val="32"/>
          <w:szCs w:val="32"/>
        </w:rPr>
        <w:t>3</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37</w:t>
      </w:r>
      <w:r>
        <w:rPr>
          <w:rFonts w:ascii="仿宋_GB2312" w:eastAsia="仿宋_GB2312" w:hAnsi="宋体" w:cs="宋体" w:hint="eastAsia"/>
          <w:color w:val="000000" w:themeColor="text1"/>
          <w:kern w:val="0"/>
          <w:sz w:val="32"/>
          <w:szCs w:val="32"/>
        </w:rPr>
        <w:t>分，综合评价等级为“优”。其中：当年预算执行情况</w:t>
      </w:r>
      <w:r>
        <w:rPr>
          <w:rFonts w:ascii="仿宋_GB2312" w:eastAsia="仿宋_GB2312" w:hAnsi="宋体" w:cs="宋体" w:hint="eastAsia"/>
          <w:color w:val="000000" w:themeColor="text1"/>
          <w:kern w:val="0"/>
          <w:sz w:val="32"/>
          <w:szCs w:val="32"/>
        </w:rPr>
        <w:t>19.07</w:t>
      </w:r>
      <w:r>
        <w:rPr>
          <w:rFonts w:ascii="仿宋_GB2312" w:eastAsia="仿宋_GB2312" w:hAnsi="宋体" w:cs="宋体" w:hint="eastAsia"/>
          <w:color w:val="000000" w:themeColor="text1"/>
          <w:kern w:val="0"/>
          <w:sz w:val="32"/>
          <w:szCs w:val="32"/>
        </w:rPr>
        <w:t>分，整体绩效目标实际情况</w:t>
      </w:r>
      <w:r>
        <w:rPr>
          <w:rFonts w:ascii="仿宋_GB2312" w:eastAsia="仿宋_GB2312" w:hAnsi="宋体" w:cs="宋体" w:hint="eastAsia"/>
          <w:color w:val="000000" w:themeColor="text1"/>
          <w:kern w:val="0"/>
          <w:sz w:val="32"/>
          <w:szCs w:val="32"/>
        </w:rPr>
        <w:t>58.00</w:t>
      </w:r>
      <w:r>
        <w:rPr>
          <w:rFonts w:ascii="仿宋_GB2312" w:eastAsia="仿宋_GB2312" w:hAnsi="宋体" w:cs="宋体" w:hint="eastAsia"/>
          <w:color w:val="000000" w:themeColor="text1"/>
          <w:kern w:val="0"/>
          <w:sz w:val="32"/>
          <w:szCs w:val="32"/>
        </w:rPr>
        <w:t>分，预算管理情况</w:t>
      </w:r>
      <w:r>
        <w:rPr>
          <w:rFonts w:ascii="仿宋_GB2312" w:eastAsia="仿宋_GB2312" w:hAnsi="宋体" w:cs="宋体" w:hint="eastAsia"/>
          <w:color w:val="000000" w:themeColor="text1"/>
          <w:kern w:val="0"/>
          <w:sz w:val="32"/>
          <w:szCs w:val="32"/>
        </w:rPr>
        <w:t>16</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30</w:t>
      </w:r>
      <w:r>
        <w:rPr>
          <w:rFonts w:ascii="仿宋_GB2312" w:eastAsia="仿宋_GB2312" w:hAnsi="宋体" w:cs="宋体" w:hint="eastAsia"/>
          <w:color w:val="000000" w:themeColor="text1"/>
          <w:kern w:val="0"/>
          <w:sz w:val="32"/>
          <w:szCs w:val="32"/>
        </w:rPr>
        <w:t>分，具体评分见《</w:t>
      </w:r>
      <w:r>
        <w:rPr>
          <w:rFonts w:ascii="仿宋_GB2312" w:eastAsia="仿宋_GB2312" w:hAnsi="宋体" w:cs="宋体" w:hint="eastAsia"/>
          <w:color w:val="000000" w:themeColor="text1"/>
          <w:kern w:val="0"/>
          <w:sz w:val="32"/>
          <w:szCs w:val="32"/>
        </w:rPr>
        <w:t>2023</w:t>
      </w:r>
      <w:r>
        <w:rPr>
          <w:rFonts w:ascii="仿宋_GB2312" w:eastAsia="仿宋_GB2312" w:hAnsi="宋体" w:cs="宋体" w:hint="eastAsia"/>
          <w:color w:val="000000" w:themeColor="text1"/>
          <w:kern w:val="0"/>
          <w:sz w:val="32"/>
          <w:szCs w:val="32"/>
        </w:rPr>
        <w:t>年度部门整体绩效评</w:t>
      </w:r>
      <w:r>
        <w:rPr>
          <w:rFonts w:ascii="仿宋_GB2312" w:eastAsia="仿宋_GB2312" w:hAnsi="宋体" w:cs="宋体" w:hint="eastAsia"/>
          <w:color w:val="000000" w:themeColor="text1"/>
          <w:kern w:val="0"/>
          <w:sz w:val="32"/>
          <w:szCs w:val="32"/>
        </w:rPr>
        <w:lastRenderedPageBreak/>
        <w:t>价指标体系评分表》。</w:t>
      </w:r>
    </w:p>
    <w:p w:rsidR="00276BFD" w:rsidRDefault="00A326DA">
      <w:pPr>
        <w:pStyle w:val="20"/>
        <w:ind w:firstLine="643"/>
      </w:pPr>
      <w:r>
        <w:rPr>
          <w:rFonts w:hint="eastAsia"/>
        </w:rPr>
        <w:t>（二）存在的问题及原因分析</w:t>
      </w:r>
    </w:p>
    <w:p w:rsidR="00276BFD" w:rsidRDefault="00A326DA">
      <w:pPr>
        <w:widowControl/>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部分项目绩效目标填报不够完整、细化量化，主要体现在时效指标、质量指标，时效指标未明确具体的时间节点，难以衡量完成情况，部分质量指标的量化性有待加强。</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合同管理不够规范，存在合同缺少签订日期、签章等情况；存在项目开始执行时间早于合同签订时间的情况。</w:t>
      </w:r>
    </w:p>
    <w:p w:rsidR="00276BFD" w:rsidRDefault="00A326DA">
      <w:pPr>
        <w:spacing w:line="360" w:lineRule="auto"/>
        <w:ind w:leftChars="50" w:left="105"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项目管理方面仍有待进一步加强，效益资料的完整性和充分性有所不足，缺乏对效益实现情况的详实佐证资料的收集与整理，同时在满意度调查分析方面的意识尚待提升。</w:t>
      </w:r>
    </w:p>
    <w:p w:rsidR="00276BFD" w:rsidRDefault="00A326DA">
      <w:pPr>
        <w:pStyle w:val="1"/>
        <w:ind w:firstLine="643"/>
      </w:pPr>
      <w:bookmarkStart w:id="6" w:name="_Toc10439"/>
      <w:r>
        <w:rPr>
          <w:rFonts w:hint="eastAsia"/>
        </w:rPr>
        <w:t>六、措施建议</w:t>
      </w:r>
      <w:bookmarkEnd w:id="6"/>
    </w:p>
    <w:p w:rsidR="00276BFD" w:rsidRDefault="00A326DA">
      <w:pPr>
        <w:pStyle w:val="1"/>
        <w:adjustRightInd w:val="0"/>
        <w:snapToGrid w:val="0"/>
        <w:ind w:firstLine="640"/>
        <w:rPr>
          <w:rFonts w:ascii="仿宋_GB2312" w:hAnsi="宋体" w:cs="宋体"/>
          <w:b w:val="0"/>
          <w:color w:val="000000"/>
          <w:kern w:val="0"/>
          <w:szCs w:val="32"/>
        </w:rPr>
      </w:pPr>
      <w:r>
        <w:rPr>
          <w:rFonts w:ascii="仿宋_GB2312" w:hAnsi="宋体" w:cs="宋体" w:hint="eastAsia"/>
          <w:b w:val="0"/>
          <w:color w:val="000000"/>
          <w:kern w:val="0"/>
          <w:szCs w:val="32"/>
        </w:rPr>
        <w:t>1.</w:t>
      </w:r>
      <w:r>
        <w:rPr>
          <w:rFonts w:ascii="仿宋_GB2312" w:hAnsi="宋体" w:cs="宋体" w:hint="eastAsia"/>
          <w:b w:val="0"/>
          <w:color w:val="000000"/>
          <w:kern w:val="0"/>
          <w:szCs w:val="32"/>
        </w:rPr>
        <w:t>持续严格按照北京市预算绩效管理的要求，合理编制绩效目标，按照具体工作内容细化绩效指标和量化指标值。建立绩效指标库，不断提升绩效目标设置的合理性、科学性。</w:t>
      </w:r>
    </w:p>
    <w:p w:rsidR="00276BFD" w:rsidRDefault="00A326DA">
      <w:pPr>
        <w:pStyle w:val="2"/>
        <w:ind w:firstLine="640"/>
        <w:rPr>
          <w:rFonts w:eastAsia="仿宋_GB2312" w:hAnsi="宋体" w:cs="宋体"/>
          <w:color w:val="000000"/>
          <w:kern w:val="0"/>
          <w:sz w:val="32"/>
          <w:szCs w:val="32"/>
        </w:rPr>
      </w:pPr>
      <w:r>
        <w:rPr>
          <w:rFonts w:eastAsia="仿宋_GB2312" w:hAnsi="宋体" w:cs="宋体" w:hint="eastAsia"/>
          <w:color w:val="000000"/>
          <w:kern w:val="0"/>
          <w:sz w:val="32"/>
          <w:szCs w:val="32"/>
        </w:rPr>
        <w:t>2.</w:t>
      </w:r>
      <w:r>
        <w:rPr>
          <w:rFonts w:eastAsia="仿宋_GB2312" w:hAnsi="宋体" w:cs="宋体" w:hint="eastAsia"/>
          <w:color w:val="000000"/>
          <w:kern w:val="0"/>
          <w:sz w:val="32"/>
          <w:szCs w:val="32"/>
        </w:rPr>
        <w:t>严格执行合同管理规范，确保合同信息完整、准确，并具备法律效力。加强合同审查流程，确保项目开始执行时间符合合同签订逻辑，防止先执行后签约的违规现象。</w:t>
      </w:r>
    </w:p>
    <w:p w:rsidR="00276BFD" w:rsidRDefault="00A326DA">
      <w:pPr>
        <w:pStyle w:val="2"/>
        <w:adjustRightInd w:val="0"/>
        <w:snapToGrid w:val="0"/>
        <w:ind w:firstLine="640"/>
        <w:rPr>
          <w:rFonts w:eastAsia="仿宋_GB2312" w:hAnsi="宋体" w:cs="宋体"/>
          <w:color w:val="000000"/>
          <w:kern w:val="0"/>
          <w:sz w:val="32"/>
          <w:szCs w:val="32"/>
        </w:rPr>
      </w:pPr>
      <w:r>
        <w:rPr>
          <w:rFonts w:eastAsia="仿宋_GB2312" w:hAnsi="宋体" w:cs="宋体" w:hint="eastAsia"/>
          <w:color w:val="000000"/>
          <w:kern w:val="0"/>
          <w:sz w:val="32"/>
          <w:szCs w:val="32"/>
        </w:rPr>
        <w:t>3.</w:t>
      </w:r>
      <w:r>
        <w:rPr>
          <w:rFonts w:eastAsia="仿宋_GB2312" w:hAnsi="宋体" w:cs="宋体" w:hint="eastAsia"/>
          <w:color w:val="000000"/>
          <w:kern w:val="0"/>
          <w:sz w:val="32"/>
          <w:szCs w:val="32"/>
        </w:rPr>
        <w:t>进一步强化对绩效全过程资料的整理与分析，不断提高资金使用效益，尤其是绩效资料和满意度资料。绩效资料需要体现项目完成的效果及效益，如相关经济效益的数据或者社会效益呈现资料等。满意度资料需要注意样本量的丰富性，并对满意度结果进行统计及分析，应有更科学和更专业</w:t>
      </w:r>
      <w:r>
        <w:rPr>
          <w:rFonts w:eastAsia="仿宋_GB2312" w:hAnsi="宋体" w:cs="宋体" w:hint="eastAsia"/>
          <w:color w:val="000000"/>
          <w:kern w:val="0"/>
          <w:sz w:val="32"/>
          <w:szCs w:val="32"/>
        </w:rPr>
        <w:lastRenderedPageBreak/>
        <w:t>的数据供后期使用。</w:t>
      </w:r>
    </w:p>
    <w:p w:rsidR="00276BFD" w:rsidRDefault="00276BFD">
      <w:pPr>
        <w:widowControl/>
        <w:spacing w:line="360" w:lineRule="auto"/>
        <w:ind w:leftChars="50" w:left="105" w:firstLineChars="200" w:firstLine="640"/>
        <w:rPr>
          <w:rFonts w:ascii="仿宋_GB2312" w:eastAsia="仿宋_GB2312" w:hAnsi="宋体" w:cs="宋体"/>
          <w:color w:val="000000"/>
          <w:kern w:val="0"/>
          <w:sz w:val="32"/>
          <w:szCs w:val="32"/>
        </w:rPr>
      </w:pPr>
    </w:p>
    <w:p w:rsidR="00276BFD" w:rsidRDefault="00276BFD">
      <w:pPr>
        <w:spacing w:line="360" w:lineRule="auto"/>
        <w:ind w:leftChars="50" w:left="105" w:firstLineChars="200" w:firstLine="640"/>
        <w:rPr>
          <w:rFonts w:ascii="仿宋_GB2312" w:eastAsia="仿宋_GB2312" w:hAnsi="宋体" w:cs="宋体"/>
          <w:color w:val="FF0000"/>
          <w:kern w:val="0"/>
          <w:sz w:val="32"/>
          <w:szCs w:val="32"/>
        </w:rPr>
      </w:pPr>
    </w:p>
    <w:p w:rsidR="00276BFD" w:rsidRDefault="00276BFD">
      <w:pPr>
        <w:pStyle w:val="a9"/>
        <w:spacing w:line="360" w:lineRule="auto"/>
      </w:pPr>
    </w:p>
    <w:p w:rsidR="00276BFD" w:rsidRDefault="00A326DA">
      <w:pPr>
        <w:spacing w:line="360" w:lineRule="auto"/>
        <w:ind w:leftChars="50" w:left="105" w:firstLineChars="200" w:firstLine="640"/>
        <w:outlineLvl w:val="0"/>
        <w:rPr>
          <w:rFonts w:ascii="仿宋_GB2312" w:eastAsia="仿宋_GB2312" w:hAnsi="宋体" w:cs="宋体"/>
          <w:color w:val="000000" w:themeColor="text1"/>
          <w:kern w:val="0"/>
          <w:sz w:val="32"/>
          <w:szCs w:val="32"/>
        </w:rPr>
      </w:pPr>
      <w:bookmarkStart w:id="7" w:name="_Toc25680"/>
      <w:r>
        <w:rPr>
          <w:rFonts w:ascii="仿宋_GB2312" w:eastAsia="仿宋_GB2312" w:hAnsi="宋体" w:cs="宋体" w:hint="eastAsia"/>
          <w:color w:val="000000" w:themeColor="text1"/>
          <w:kern w:val="0"/>
          <w:sz w:val="32"/>
          <w:szCs w:val="32"/>
        </w:rPr>
        <w:t>附件：</w:t>
      </w:r>
      <w:r>
        <w:rPr>
          <w:rFonts w:ascii="仿宋_GB2312" w:eastAsia="仿宋_GB2312" w:hAnsi="宋体" w:cs="宋体"/>
          <w:color w:val="000000" w:themeColor="text1"/>
          <w:kern w:val="0"/>
          <w:sz w:val="32"/>
          <w:szCs w:val="32"/>
        </w:rPr>
        <w:t>202</w:t>
      </w:r>
      <w:r>
        <w:rPr>
          <w:rFonts w:ascii="仿宋_GB2312" w:eastAsia="仿宋_GB2312" w:hAnsi="宋体" w:cs="宋体" w:hint="eastAsia"/>
          <w:color w:val="000000" w:themeColor="text1"/>
          <w:kern w:val="0"/>
          <w:sz w:val="32"/>
          <w:szCs w:val="32"/>
        </w:rPr>
        <w:t>3</w:t>
      </w:r>
      <w:r>
        <w:rPr>
          <w:rFonts w:ascii="仿宋_GB2312" w:eastAsia="仿宋_GB2312" w:hAnsi="宋体" w:cs="宋体"/>
          <w:color w:val="000000" w:themeColor="text1"/>
          <w:kern w:val="0"/>
          <w:sz w:val="32"/>
          <w:szCs w:val="32"/>
        </w:rPr>
        <w:t>年部门整体绩效评价指标体系评分表</w:t>
      </w:r>
      <w:bookmarkEnd w:id="7"/>
    </w:p>
    <w:p w:rsidR="00276BFD" w:rsidRDefault="00276BFD">
      <w:pPr>
        <w:pStyle w:val="a9"/>
        <w:spacing w:line="360" w:lineRule="auto"/>
        <w:rPr>
          <w:rFonts w:ascii="仿宋_GB2312" w:eastAsia="仿宋_GB2312" w:hAnsi="宋体" w:cs="宋体"/>
          <w:color w:val="000000"/>
          <w:kern w:val="0"/>
          <w:sz w:val="32"/>
          <w:szCs w:val="32"/>
        </w:rPr>
      </w:pPr>
    </w:p>
    <w:p w:rsidR="00276BFD" w:rsidRDefault="00276BFD">
      <w:pPr>
        <w:spacing w:line="360" w:lineRule="auto"/>
        <w:rPr>
          <w:rFonts w:ascii="仿宋_GB2312" w:eastAsia="仿宋_GB2312" w:hAnsi="宋体" w:cs="宋体"/>
          <w:color w:val="000000"/>
          <w:kern w:val="0"/>
          <w:sz w:val="32"/>
          <w:szCs w:val="32"/>
        </w:rPr>
      </w:pPr>
    </w:p>
    <w:p w:rsidR="00276BFD" w:rsidRDefault="00276BFD">
      <w:pPr>
        <w:spacing w:line="360" w:lineRule="auto"/>
        <w:rPr>
          <w:rFonts w:ascii="仿宋_GB2312" w:eastAsia="仿宋_GB2312" w:hAnsi="宋体" w:cs="宋体"/>
          <w:color w:val="000000"/>
          <w:kern w:val="0"/>
          <w:sz w:val="32"/>
          <w:szCs w:val="32"/>
        </w:rPr>
      </w:pPr>
    </w:p>
    <w:p w:rsidR="00276BFD" w:rsidRDefault="00276BFD">
      <w:pPr>
        <w:pStyle w:val="2"/>
        <w:ind w:firstLine="480"/>
      </w:pPr>
    </w:p>
    <w:p w:rsidR="00276BFD" w:rsidRDefault="00A326DA">
      <w:pPr>
        <w:pStyle w:val="a9"/>
        <w:spacing w:line="360" w:lineRule="auto"/>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国家大剧院</w:t>
      </w:r>
    </w:p>
    <w:p w:rsidR="00276BFD" w:rsidRDefault="00A326DA">
      <w:pPr>
        <w:spacing w:line="360" w:lineRule="auto"/>
      </w:pPr>
      <w:r>
        <w:rPr>
          <w:rFonts w:ascii="仿宋_GB2312" w:eastAsia="仿宋_GB2312" w:hAnsi="宋体" w:cs="宋体" w:hint="eastAsia"/>
          <w:color w:val="000000"/>
          <w:kern w:val="0"/>
          <w:sz w:val="32"/>
          <w:szCs w:val="32"/>
        </w:rPr>
        <w:t xml:space="preserve">                                  2024</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月</w:t>
      </w:r>
      <w:r>
        <w:rPr>
          <w:rFonts w:ascii="仿宋_GB2312" w:eastAsia="仿宋_GB2312" w:hAnsi="宋体" w:cs="宋体" w:hint="eastAsia"/>
          <w:color w:val="000000"/>
          <w:kern w:val="0"/>
          <w:sz w:val="32"/>
          <w:szCs w:val="32"/>
        </w:rPr>
        <w:t>16</w:t>
      </w:r>
      <w:r>
        <w:rPr>
          <w:rFonts w:ascii="仿宋_GB2312" w:eastAsia="仿宋_GB2312" w:hAnsi="宋体" w:cs="宋体" w:hint="eastAsia"/>
          <w:color w:val="000000"/>
          <w:kern w:val="0"/>
          <w:sz w:val="32"/>
          <w:szCs w:val="32"/>
        </w:rPr>
        <w:t>日</w:t>
      </w:r>
    </w:p>
    <w:p w:rsidR="00276BFD" w:rsidRDefault="00276BFD">
      <w:pPr>
        <w:pStyle w:val="a9"/>
        <w:spacing w:line="360" w:lineRule="auto"/>
        <w:rPr>
          <w:rFonts w:ascii="仿宋_GB2312" w:eastAsia="仿宋_GB2312" w:hAnsi="宋体" w:cs="宋体"/>
          <w:color w:val="000000"/>
          <w:kern w:val="0"/>
          <w:sz w:val="32"/>
          <w:szCs w:val="32"/>
        </w:rPr>
      </w:pPr>
    </w:p>
    <w:p w:rsidR="00276BFD" w:rsidRDefault="00276BFD">
      <w:pPr>
        <w:spacing w:line="360" w:lineRule="auto"/>
        <w:ind w:firstLineChars="200" w:firstLine="420"/>
      </w:pPr>
    </w:p>
    <w:sectPr w:rsidR="00276BFD" w:rsidSect="00276BFD">
      <w:footerReference w:type="default" r:id="rId10"/>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6DA" w:rsidRDefault="00A326DA" w:rsidP="00276BFD">
      <w:r>
        <w:separator/>
      </w:r>
    </w:p>
  </w:endnote>
  <w:endnote w:type="continuationSeparator" w:id="1">
    <w:p w:rsidR="00A326DA" w:rsidRDefault="00A326DA" w:rsidP="00276B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FD" w:rsidRDefault="00A326DA">
    <w:pPr>
      <w:pStyle w:val="a9"/>
    </w:pPr>
    <w:r>
      <w:rPr>
        <w:rFonts w:hint="eastAsi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FD" w:rsidRDefault="00276BFD">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BFD" w:rsidRDefault="00276BFD">
    <w:pPr>
      <w:pStyle w:val="a9"/>
      <w:jc w:val="center"/>
    </w:pPr>
  </w:p>
  <w:p w:rsidR="00276BFD" w:rsidRDefault="00276BF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6DA" w:rsidRDefault="00A326DA" w:rsidP="00276BFD">
      <w:r>
        <w:separator/>
      </w:r>
    </w:p>
  </w:footnote>
  <w:footnote w:type="continuationSeparator" w:id="1">
    <w:p w:rsidR="00A326DA" w:rsidRDefault="00A326DA" w:rsidP="00276B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Dc5OWYxOTBkNWFmMDlhNTEzNjBjMDFjMjI4MWYyOTYifQ=="/>
  </w:docVars>
  <w:rsids>
    <w:rsidRoot w:val="6756514C"/>
    <w:rsid w:val="00015F98"/>
    <w:rsid w:val="00066A95"/>
    <w:rsid w:val="000C6972"/>
    <w:rsid w:val="000E5889"/>
    <w:rsid w:val="001F32CF"/>
    <w:rsid w:val="0024720C"/>
    <w:rsid w:val="00266A38"/>
    <w:rsid w:val="00276BFD"/>
    <w:rsid w:val="00284C0C"/>
    <w:rsid w:val="002B1EF6"/>
    <w:rsid w:val="00317FE2"/>
    <w:rsid w:val="00477ECA"/>
    <w:rsid w:val="004A3E97"/>
    <w:rsid w:val="004C3342"/>
    <w:rsid w:val="004D6A55"/>
    <w:rsid w:val="004F528C"/>
    <w:rsid w:val="00557DE8"/>
    <w:rsid w:val="005727C0"/>
    <w:rsid w:val="006362E0"/>
    <w:rsid w:val="00641BA0"/>
    <w:rsid w:val="00644FF0"/>
    <w:rsid w:val="00677439"/>
    <w:rsid w:val="006B4E6E"/>
    <w:rsid w:val="006C2248"/>
    <w:rsid w:val="006F0801"/>
    <w:rsid w:val="00791C92"/>
    <w:rsid w:val="008A4940"/>
    <w:rsid w:val="008B0FAB"/>
    <w:rsid w:val="008B3A9C"/>
    <w:rsid w:val="008F35D1"/>
    <w:rsid w:val="009171CD"/>
    <w:rsid w:val="00942C26"/>
    <w:rsid w:val="00996B93"/>
    <w:rsid w:val="009C4885"/>
    <w:rsid w:val="009D151F"/>
    <w:rsid w:val="009D1A60"/>
    <w:rsid w:val="00A326DA"/>
    <w:rsid w:val="00A43218"/>
    <w:rsid w:val="00A553C9"/>
    <w:rsid w:val="00A82F00"/>
    <w:rsid w:val="00A849DA"/>
    <w:rsid w:val="00A910EC"/>
    <w:rsid w:val="00A93D97"/>
    <w:rsid w:val="00B034D7"/>
    <w:rsid w:val="00BA7AE6"/>
    <w:rsid w:val="00BC091E"/>
    <w:rsid w:val="00BF0A7C"/>
    <w:rsid w:val="00C05C9C"/>
    <w:rsid w:val="00C520CE"/>
    <w:rsid w:val="00C738CF"/>
    <w:rsid w:val="00C80228"/>
    <w:rsid w:val="00C840EB"/>
    <w:rsid w:val="00CB350F"/>
    <w:rsid w:val="00CE2EE8"/>
    <w:rsid w:val="00CF3C14"/>
    <w:rsid w:val="00CF617B"/>
    <w:rsid w:val="00D14E6B"/>
    <w:rsid w:val="00D2179C"/>
    <w:rsid w:val="00D4378F"/>
    <w:rsid w:val="00E04F17"/>
    <w:rsid w:val="00E07B0F"/>
    <w:rsid w:val="00E66121"/>
    <w:rsid w:val="00E72445"/>
    <w:rsid w:val="00E86597"/>
    <w:rsid w:val="00EC6067"/>
    <w:rsid w:val="00F004B6"/>
    <w:rsid w:val="00F21CA0"/>
    <w:rsid w:val="00F373AC"/>
    <w:rsid w:val="00F43783"/>
    <w:rsid w:val="00F77DE2"/>
    <w:rsid w:val="00F80E6C"/>
    <w:rsid w:val="00F86FF3"/>
    <w:rsid w:val="00F94C5A"/>
    <w:rsid w:val="01395C31"/>
    <w:rsid w:val="027D4487"/>
    <w:rsid w:val="029319A6"/>
    <w:rsid w:val="02C4499B"/>
    <w:rsid w:val="03304B85"/>
    <w:rsid w:val="037F3AE7"/>
    <w:rsid w:val="03AA4113"/>
    <w:rsid w:val="03CC3E5D"/>
    <w:rsid w:val="044A6F9F"/>
    <w:rsid w:val="04A356CD"/>
    <w:rsid w:val="04D717C0"/>
    <w:rsid w:val="04D7541B"/>
    <w:rsid w:val="052B295A"/>
    <w:rsid w:val="054F4741"/>
    <w:rsid w:val="05A0403D"/>
    <w:rsid w:val="05F962FA"/>
    <w:rsid w:val="06957CE8"/>
    <w:rsid w:val="06CC634B"/>
    <w:rsid w:val="06F911A2"/>
    <w:rsid w:val="07883C64"/>
    <w:rsid w:val="07B65AE2"/>
    <w:rsid w:val="07DD357C"/>
    <w:rsid w:val="07E03C25"/>
    <w:rsid w:val="07E603B1"/>
    <w:rsid w:val="07FE063A"/>
    <w:rsid w:val="08574986"/>
    <w:rsid w:val="09692F1E"/>
    <w:rsid w:val="09705F41"/>
    <w:rsid w:val="09B13E54"/>
    <w:rsid w:val="0AD4429E"/>
    <w:rsid w:val="0B215366"/>
    <w:rsid w:val="0B4E4D00"/>
    <w:rsid w:val="0B5E60C9"/>
    <w:rsid w:val="0BAB518F"/>
    <w:rsid w:val="0BFA11B8"/>
    <w:rsid w:val="0C74017F"/>
    <w:rsid w:val="0C740A21"/>
    <w:rsid w:val="0C8B14DE"/>
    <w:rsid w:val="0CDA4C05"/>
    <w:rsid w:val="0D7569C1"/>
    <w:rsid w:val="0E1C770E"/>
    <w:rsid w:val="0E7A50FF"/>
    <w:rsid w:val="0EDB531E"/>
    <w:rsid w:val="0F1C050F"/>
    <w:rsid w:val="0F1E76CC"/>
    <w:rsid w:val="0F5616CC"/>
    <w:rsid w:val="0F7717B8"/>
    <w:rsid w:val="0F8B409F"/>
    <w:rsid w:val="10854F72"/>
    <w:rsid w:val="10A85605"/>
    <w:rsid w:val="10B31FEC"/>
    <w:rsid w:val="10F961EA"/>
    <w:rsid w:val="118C49DB"/>
    <w:rsid w:val="120A1EC9"/>
    <w:rsid w:val="121D2118"/>
    <w:rsid w:val="125C0788"/>
    <w:rsid w:val="1260671B"/>
    <w:rsid w:val="12EC7D7E"/>
    <w:rsid w:val="12FC53A7"/>
    <w:rsid w:val="13973466"/>
    <w:rsid w:val="13FA1C11"/>
    <w:rsid w:val="14150F08"/>
    <w:rsid w:val="15583B81"/>
    <w:rsid w:val="159D08B5"/>
    <w:rsid w:val="15CD0C99"/>
    <w:rsid w:val="162D2ADD"/>
    <w:rsid w:val="1635019A"/>
    <w:rsid w:val="168E2E40"/>
    <w:rsid w:val="173F54E5"/>
    <w:rsid w:val="17AB130E"/>
    <w:rsid w:val="18341BBA"/>
    <w:rsid w:val="18FC13AA"/>
    <w:rsid w:val="19F53447"/>
    <w:rsid w:val="1A7B381E"/>
    <w:rsid w:val="1A806BCB"/>
    <w:rsid w:val="1AA3594B"/>
    <w:rsid w:val="1B250A1C"/>
    <w:rsid w:val="1B8376A6"/>
    <w:rsid w:val="1BB61DB9"/>
    <w:rsid w:val="1BFC6D75"/>
    <w:rsid w:val="1D0E7B19"/>
    <w:rsid w:val="1DA15470"/>
    <w:rsid w:val="1DAA485A"/>
    <w:rsid w:val="1DF14F2A"/>
    <w:rsid w:val="1E3B27BC"/>
    <w:rsid w:val="1E3F460C"/>
    <w:rsid w:val="1E4513B6"/>
    <w:rsid w:val="1ED64B48"/>
    <w:rsid w:val="1EFF530C"/>
    <w:rsid w:val="1F223CF5"/>
    <w:rsid w:val="1F286FD6"/>
    <w:rsid w:val="1F637C9C"/>
    <w:rsid w:val="1F6514AD"/>
    <w:rsid w:val="1FE0440F"/>
    <w:rsid w:val="20851615"/>
    <w:rsid w:val="21883B85"/>
    <w:rsid w:val="21FD7D5B"/>
    <w:rsid w:val="22103255"/>
    <w:rsid w:val="221656DD"/>
    <w:rsid w:val="22410F8D"/>
    <w:rsid w:val="224C6B3A"/>
    <w:rsid w:val="226637D7"/>
    <w:rsid w:val="22B752ED"/>
    <w:rsid w:val="22ED6787"/>
    <w:rsid w:val="23526265"/>
    <w:rsid w:val="236B10A3"/>
    <w:rsid w:val="23B63B83"/>
    <w:rsid w:val="24047C30"/>
    <w:rsid w:val="245056C7"/>
    <w:rsid w:val="24616BD7"/>
    <w:rsid w:val="24A64BCF"/>
    <w:rsid w:val="24A96052"/>
    <w:rsid w:val="251A04F4"/>
    <w:rsid w:val="253A35A9"/>
    <w:rsid w:val="25AC5966"/>
    <w:rsid w:val="26505F17"/>
    <w:rsid w:val="26900F5F"/>
    <w:rsid w:val="26A01E2B"/>
    <w:rsid w:val="26AE5588"/>
    <w:rsid w:val="275D0AC7"/>
    <w:rsid w:val="276534A4"/>
    <w:rsid w:val="28042D0C"/>
    <w:rsid w:val="28454D96"/>
    <w:rsid w:val="287D15E8"/>
    <w:rsid w:val="290839EA"/>
    <w:rsid w:val="29D3610C"/>
    <w:rsid w:val="2A2A4030"/>
    <w:rsid w:val="2A347735"/>
    <w:rsid w:val="2AAD7EC0"/>
    <w:rsid w:val="2B002B63"/>
    <w:rsid w:val="2B0A5EF1"/>
    <w:rsid w:val="2BBA1007"/>
    <w:rsid w:val="2BF85165"/>
    <w:rsid w:val="2BFC56B0"/>
    <w:rsid w:val="2D7E353C"/>
    <w:rsid w:val="2E5563B5"/>
    <w:rsid w:val="2E656B2A"/>
    <w:rsid w:val="2E864BDB"/>
    <w:rsid w:val="2E9D0A90"/>
    <w:rsid w:val="2EB94D31"/>
    <w:rsid w:val="2F032EDF"/>
    <w:rsid w:val="2F1D0B1E"/>
    <w:rsid w:val="2F240929"/>
    <w:rsid w:val="2F775DC1"/>
    <w:rsid w:val="30D52692"/>
    <w:rsid w:val="31EE381D"/>
    <w:rsid w:val="31F327F5"/>
    <w:rsid w:val="322C3CBB"/>
    <w:rsid w:val="32495E05"/>
    <w:rsid w:val="32940F39"/>
    <w:rsid w:val="32CE0054"/>
    <w:rsid w:val="332E4C97"/>
    <w:rsid w:val="33772315"/>
    <w:rsid w:val="3384307F"/>
    <w:rsid w:val="33973D93"/>
    <w:rsid w:val="33C444BF"/>
    <w:rsid w:val="34392784"/>
    <w:rsid w:val="34893F0A"/>
    <w:rsid w:val="34A57A3D"/>
    <w:rsid w:val="35480CAE"/>
    <w:rsid w:val="3549264C"/>
    <w:rsid w:val="355D3968"/>
    <w:rsid w:val="35BC6253"/>
    <w:rsid w:val="35E46BC2"/>
    <w:rsid w:val="36A15F30"/>
    <w:rsid w:val="36AF48BB"/>
    <w:rsid w:val="36FC67E8"/>
    <w:rsid w:val="38421E30"/>
    <w:rsid w:val="39025B1F"/>
    <w:rsid w:val="393D6DA5"/>
    <w:rsid w:val="394D3A39"/>
    <w:rsid w:val="3C313BB9"/>
    <w:rsid w:val="3C6278EA"/>
    <w:rsid w:val="3C7A5AFC"/>
    <w:rsid w:val="3CAA6F9C"/>
    <w:rsid w:val="3CDF5CF4"/>
    <w:rsid w:val="3D090D42"/>
    <w:rsid w:val="3D0E4291"/>
    <w:rsid w:val="3D0F44ED"/>
    <w:rsid w:val="3D180D9B"/>
    <w:rsid w:val="3D7C7A6E"/>
    <w:rsid w:val="3E100AE9"/>
    <w:rsid w:val="3E7061BD"/>
    <w:rsid w:val="3E781ABC"/>
    <w:rsid w:val="3FB4041E"/>
    <w:rsid w:val="404E1A40"/>
    <w:rsid w:val="409C27C1"/>
    <w:rsid w:val="40E77E09"/>
    <w:rsid w:val="410738F3"/>
    <w:rsid w:val="41177EFF"/>
    <w:rsid w:val="41386401"/>
    <w:rsid w:val="41497A8F"/>
    <w:rsid w:val="41543E85"/>
    <w:rsid w:val="41BE06B4"/>
    <w:rsid w:val="41C95517"/>
    <w:rsid w:val="41F9564E"/>
    <w:rsid w:val="42103792"/>
    <w:rsid w:val="42566479"/>
    <w:rsid w:val="42660699"/>
    <w:rsid w:val="42E147A8"/>
    <w:rsid w:val="43156EFA"/>
    <w:rsid w:val="43435C06"/>
    <w:rsid w:val="44507401"/>
    <w:rsid w:val="447F6AD4"/>
    <w:rsid w:val="4488489F"/>
    <w:rsid w:val="44B138F0"/>
    <w:rsid w:val="44B54FBA"/>
    <w:rsid w:val="44C26581"/>
    <w:rsid w:val="45137AC2"/>
    <w:rsid w:val="457379B3"/>
    <w:rsid w:val="45E52835"/>
    <w:rsid w:val="46B50379"/>
    <w:rsid w:val="46BA650E"/>
    <w:rsid w:val="46BE5440"/>
    <w:rsid w:val="47152966"/>
    <w:rsid w:val="4780245C"/>
    <w:rsid w:val="48234CE0"/>
    <w:rsid w:val="48A4699B"/>
    <w:rsid w:val="49A97A21"/>
    <w:rsid w:val="4AD34AED"/>
    <w:rsid w:val="4AEB6655"/>
    <w:rsid w:val="4B093CF2"/>
    <w:rsid w:val="4B334972"/>
    <w:rsid w:val="4BDF5FB8"/>
    <w:rsid w:val="4C156C96"/>
    <w:rsid w:val="4C2840F3"/>
    <w:rsid w:val="4C9C77C5"/>
    <w:rsid w:val="4C9C7D5C"/>
    <w:rsid w:val="4CBD67C1"/>
    <w:rsid w:val="4CC24C34"/>
    <w:rsid w:val="4D1776C2"/>
    <w:rsid w:val="4D1F7544"/>
    <w:rsid w:val="4D6949F2"/>
    <w:rsid w:val="4DE5062E"/>
    <w:rsid w:val="4E0179F6"/>
    <w:rsid w:val="4E08563C"/>
    <w:rsid w:val="4E654D42"/>
    <w:rsid w:val="4F5C42CB"/>
    <w:rsid w:val="4F8E1B01"/>
    <w:rsid w:val="4FA12F0D"/>
    <w:rsid w:val="4FAE512D"/>
    <w:rsid w:val="502A64E1"/>
    <w:rsid w:val="51582F0F"/>
    <w:rsid w:val="51C0481B"/>
    <w:rsid w:val="51DA5198"/>
    <w:rsid w:val="51FC0566"/>
    <w:rsid w:val="5234795B"/>
    <w:rsid w:val="52693E21"/>
    <w:rsid w:val="53421CA0"/>
    <w:rsid w:val="53435C50"/>
    <w:rsid w:val="53564649"/>
    <w:rsid w:val="5435531D"/>
    <w:rsid w:val="54F50747"/>
    <w:rsid w:val="554513DE"/>
    <w:rsid w:val="56551A83"/>
    <w:rsid w:val="565E6840"/>
    <w:rsid w:val="56D77665"/>
    <w:rsid w:val="56E03830"/>
    <w:rsid w:val="56E1358C"/>
    <w:rsid w:val="571940B1"/>
    <w:rsid w:val="57450A38"/>
    <w:rsid w:val="5769744D"/>
    <w:rsid w:val="585E2C2B"/>
    <w:rsid w:val="58F4550E"/>
    <w:rsid w:val="59201984"/>
    <w:rsid w:val="597D03CA"/>
    <w:rsid w:val="598914F2"/>
    <w:rsid w:val="5A103A64"/>
    <w:rsid w:val="5A3A24F8"/>
    <w:rsid w:val="5B27176A"/>
    <w:rsid w:val="5B4D143E"/>
    <w:rsid w:val="5B531A72"/>
    <w:rsid w:val="5B923057"/>
    <w:rsid w:val="5D036B32"/>
    <w:rsid w:val="5D6F172B"/>
    <w:rsid w:val="5D7E7247"/>
    <w:rsid w:val="5DF152F5"/>
    <w:rsid w:val="5E8F5FB6"/>
    <w:rsid w:val="5F5056C0"/>
    <w:rsid w:val="5F565D2C"/>
    <w:rsid w:val="5FCF63DF"/>
    <w:rsid w:val="604F3DBE"/>
    <w:rsid w:val="60A93455"/>
    <w:rsid w:val="60D907E2"/>
    <w:rsid w:val="61B95E5C"/>
    <w:rsid w:val="61DB75CB"/>
    <w:rsid w:val="622E1171"/>
    <w:rsid w:val="6293054F"/>
    <w:rsid w:val="62972F09"/>
    <w:rsid w:val="62AD27B5"/>
    <w:rsid w:val="62CF783E"/>
    <w:rsid w:val="62D57AD4"/>
    <w:rsid w:val="62F86C44"/>
    <w:rsid w:val="63B34DE2"/>
    <w:rsid w:val="64234422"/>
    <w:rsid w:val="64BF443E"/>
    <w:rsid w:val="65A06582"/>
    <w:rsid w:val="663C3689"/>
    <w:rsid w:val="669D34C7"/>
    <w:rsid w:val="6756514C"/>
    <w:rsid w:val="67C2613B"/>
    <w:rsid w:val="67DF69E2"/>
    <w:rsid w:val="681D6D35"/>
    <w:rsid w:val="685832F4"/>
    <w:rsid w:val="68831270"/>
    <w:rsid w:val="68F4471A"/>
    <w:rsid w:val="694B6FED"/>
    <w:rsid w:val="6A632CB6"/>
    <w:rsid w:val="6A8A362F"/>
    <w:rsid w:val="6BBF2001"/>
    <w:rsid w:val="6C6D07E4"/>
    <w:rsid w:val="6C841F00"/>
    <w:rsid w:val="6CD06258"/>
    <w:rsid w:val="6D4A6BC1"/>
    <w:rsid w:val="6D7B62C3"/>
    <w:rsid w:val="6D8060AD"/>
    <w:rsid w:val="6DD351A1"/>
    <w:rsid w:val="6E20629A"/>
    <w:rsid w:val="6EC6367F"/>
    <w:rsid w:val="6EC8085C"/>
    <w:rsid w:val="6F4F1AE0"/>
    <w:rsid w:val="6F8007BE"/>
    <w:rsid w:val="7048121F"/>
    <w:rsid w:val="70551B8A"/>
    <w:rsid w:val="7144154C"/>
    <w:rsid w:val="71951AE1"/>
    <w:rsid w:val="719D7AFB"/>
    <w:rsid w:val="71A76769"/>
    <w:rsid w:val="72EA5CED"/>
    <w:rsid w:val="72FA0290"/>
    <w:rsid w:val="73204928"/>
    <w:rsid w:val="73B34AA8"/>
    <w:rsid w:val="74164CC2"/>
    <w:rsid w:val="747F1186"/>
    <w:rsid w:val="748F3FCA"/>
    <w:rsid w:val="74F00771"/>
    <w:rsid w:val="75EC5F65"/>
    <w:rsid w:val="76A048BF"/>
    <w:rsid w:val="76C268A1"/>
    <w:rsid w:val="77677A44"/>
    <w:rsid w:val="777F6286"/>
    <w:rsid w:val="780A1088"/>
    <w:rsid w:val="78CE3A35"/>
    <w:rsid w:val="790F1105"/>
    <w:rsid w:val="792065A9"/>
    <w:rsid w:val="796D44BC"/>
    <w:rsid w:val="7980196E"/>
    <w:rsid w:val="79E921EC"/>
    <w:rsid w:val="79FF5EEF"/>
    <w:rsid w:val="7ABA4F35"/>
    <w:rsid w:val="7B7963FF"/>
    <w:rsid w:val="7C3513D7"/>
    <w:rsid w:val="7C8434D5"/>
    <w:rsid w:val="7CC4485E"/>
    <w:rsid w:val="7CEE3598"/>
    <w:rsid w:val="7DAA0D76"/>
    <w:rsid w:val="7DAF46CE"/>
    <w:rsid w:val="7DF047D1"/>
    <w:rsid w:val="7E4A040B"/>
    <w:rsid w:val="7EEB7D08"/>
    <w:rsid w:val="7F05602F"/>
    <w:rsid w:val="7F0F7FFF"/>
    <w:rsid w:val="7F1D4E58"/>
    <w:rsid w:val="7F4D76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Normal Indent"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Indent" w:qFormat="1"/>
    <w:lsdException w:name="Subtitle" w:qFormat="1"/>
    <w:lsdException w:name="Body Text First Indent 2" w:uiPriority="99" w:unhideWhenUsed="1"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276BFD"/>
    <w:pPr>
      <w:widowControl w:val="0"/>
      <w:jc w:val="both"/>
    </w:pPr>
    <w:rPr>
      <w:rFonts w:ascii="Times New Roman" w:eastAsia="宋体" w:hAnsi="Times New Roman" w:cs="Times New Roman"/>
      <w:kern w:val="2"/>
      <w:sz w:val="21"/>
      <w:szCs w:val="24"/>
    </w:rPr>
  </w:style>
  <w:style w:type="paragraph" w:styleId="1">
    <w:name w:val="heading 1"/>
    <w:basedOn w:val="a"/>
    <w:next w:val="a"/>
    <w:qFormat/>
    <w:rsid w:val="00276BFD"/>
    <w:pPr>
      <w:keepNext/>
      <w:keepLines/>
      <w:spacing w:line="360" w:lineRule="auto"/>
      <w:ind w:firstLineChars="200" w:firstLine="880"/>
      <w:jc w:val="left"/>
      <w:outlineLvl w:val="0"/>
    </w:pPr>
    <w:rPr>
      <w:rFonts w:eastAsia="仿宋_GB2312"/>
      <w:b/>
      <w:kern w:val="44"/>
      <w:sz w:val="32"/>
    </w:rPr>
  </w:style>
  <w:style w:type="paragraph" w:styleId="20">
    <w:name w:val="heading 2"/>
    <w:basedOn w:val="a0"/>
    <w:next w:val="a"/>
    <w:unhideWhenUsed/>
    <w:qFormat/>
    <w:rsid w:val="00276BFD"/>
    <w:pPr>
      <w:keepNext/>
      <w:keepLines/>
      <w:spacing w:line="360" w:lineRule="auto"/>
      <w:ind w:firstLine="880"/>
      <w:jc w:val="left"/>
      <w:outlineLvl w:val="1"/>
    </w:pPr>
    <w:rPr>
      <w:rFonts w:ascii="Arial" w:eastAsia="仿宋_GB2312" w:hAnsi="Arial"/>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uiPriority w:val="99"/>
    <w:unhideWhenUsed/>
    <w:qFormat/>
    <w:rsid w:val="00276BFD"/>
    <w:pPr>
      <w:ind w:firstLine="420"/>
    </w:pPr>
    <w:rPr>
      <w:rFonts w:ascii="仿宋_GB2312" w:hAnsi="仿宋_GB2312"/>
    </w:rPr>
  </w:style>
  <w:style w:type="paragraph" w:styleId="a4">
    <w:name w:val="Body Text Indent"/>
    <w:basedOn w:val="a"/>
    <w:qFormat/>
    <w:rsid w:val="00276BFD"/>
    <w:pPr>
      <w:spacing w:line="360" w:lineRule="auto"/>
      <w:ind w:firstLineChars="200" w:firstLine="480"/>
    </w:pPr>
    <w:rPr>
      <w:sz w:val="24"/>
    </w:rPr>
  </w:style>
  <w:style w:type="paragraph" w:customStyle="1" w:styleId="a0">
    <w:name w:val="二级标题"/>
    <w:basedOn w:val="a5"/>
    <w:qFormat/>
    <w:rsid w:val="00276BFD"/>
    <w:pPr>
      <w:spacing w:line="560" w:lineRule="exact"/>
      <w:ind w:firstLine="640"/>
      <w:contextualSpacing/>
    </w:pPr>
    <w:rPr>
      <w:rFonts w:ascii="楷体" w:eastAsia="楷体" w:hAnsi="楷体"/>
      <w:kern w:val="0"/>
      <w:sz w:val="32"/>
      <w:szCs w:val="32"/>
    </w:rPr>
  </w:style>
  <w:style w:type="paragraph" w:styleId="a5">
    <w:name w:val="List Paragraph"/>
    <w:basedOn w:val="a"/>
    <w:uiPriority w:val="34"/>
    <w:qFormat/>
    <w:rsid w:val="00276BFD"/>
    <w:pPr>
      <w:ind w:firstLineChars="200" w:firstLine="420"/>
    </w:pPr>
  </w:style>
  <w:style w:type="paragraph" w:styleId="a6">
    <w:name w:val="annotation subject"/>
    <w:basedOn w:val="a7"/>
    <w:next w:val="a7"/>
    <w:link w:val="Char"/>
    <w:qFormat/>
    <w:rsid w:val="00276BFD"/>
    <w:rPr>
      <w:b/>
      <w:bCs/>
    </w:rPr>
  </w:style>
  <w:style w:type="paragraph" w:styleId="a7">
    <w:name w:val="annotation text"/>
    <w:basedOn w:val="a"/>
    <w:link w:val="Char0"/>
    <w:qFormat/>
    <w:rsid w:val="00276BFD"/>
    <w:pPr>
      <w:jc w:val="left"/>
    </w:pPr>
  </w:style>
  <w:style w:type="paragraph" w:styleId="a8">
    <w:name w:val="Normal Indent"/>
    <w:basedOn w:val="a"/>
    <w:qFormat/>
    <w:rsid w:val="00276BFD"/>
    <w:pPr>
      <w:ind w:firstLine="420"/>
    </w:pPr>
    <w:rPr>
      <w:szCs w:val="20"/>
    </w:rPr>
  </w:style>
  <w:style w:type="paragraph" w:styleId="a9">
    <w:name w:val="footer"/>
    <w:basedOn w:val="a"/>
    <w:next w:val="a"/>
    <w:link w:val="Char1"/>
    <w:uiPriority w:val="99"/>
    <w:qFormat/>
    <w:rsid w:val="00276BFD"/>
    <w:pPr>
      <w:tabs>
        <w:tab w:val="center" w:pos="4153"/>
        <w:tab w:val="right" w:pos="8306"/>
      </w:tabs>
      <w:snapToGrid w:val="0"/>
      <w:jc w:val="left"/>
    </w:pPr>
    <w:rPr>
      <w:sz w:val="18"/>
      <w:szCs w:val="20"/>
    </w:rPr>
  </w:style>
  <w:style w:type="paragraph" w:styleId="aa">
    <w:name w:val="header"/>
    <w:basedOn w:val="a"/>
    <w:qFormat/>
    <w:rsid w:val="00276BF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276BFD"/>
  </w:style>
  <w:style w:type="character" w:styleId="ab">
    <w:name w:val="Hyperlink"/>
    <w:basedOn w:val="a1"/>
    <w:uiPriority w:val="99"/>
    <w:unhideWhenUsed/>
    <w:qFormat/>
    <w:rsid w:val="00276BFD"/>
    <w:rPr>
      <w:color w:val="0563C1" w:themeColor="hyperlink"/>
      <w:u w:val="single"/>
    </w:rPr>
  </w:style>
  <w:style w:type="character" w:styleId="ac">
    <w:name w:val="annotation reference"/>
    <w:basedOn w:val="a1"/>
    <w:qFormat/>
    <w:rsid w:val="00276BFD"/>
    <w:rPr>
      <w:sz w:val="21"/>
      <w:szCs w:val="21"/>
    </w:rPr>
  </w:style>
  <w:style w:type="paragraph" w:customStyle="1" w:styleId="Bodytext1">
    <w:name w:val="Body text|1"/>
    <w:basedOn w:val="a"/>
    <w:qFormat/>
    <w:rsid w:val="00276BFD"/>
    <w:pPr>
      <w:spacing w:line="422" w:lineRule="auto"/>
      <w:ind w:firstLine="400"/>
    </w:pPr>
    <w:rPr>
      <w:rFonts w:ascii="宋体" w:hAnsi="宋体" w:cs="宋体"/>
      <w:sz w:val="28"/>
      <w:szCs w:val="28"/>
      <w:lang w:val="zh-TW" w:eastAsia="zh-TW" w:bidi="zh-TW"/>
    </w:rPr>
  </w:style>
  <w:style w:type="paragraph" w:customStyle="1" w:styleId="11">
    <w:name w:val="修订1"/>
    <w:hidden/>
    <w:uiPriority w:val="99"/>
    <w:semiHidden/>
    <w:qFormat/>
    <w:rsid w:val="00276BFD"/>
    <w:rPr>
      <w:rFonts w:ascii="Times New Roman" w:eastAsia="宋体" w:hAnsi="Times New Roman" w:cs="Times New Roman"/>
      <w:kern w:val="2"/>
      <w:sz w:val="21"/>
      <w:szCs w:val="24"/>
    </w:rPr>
  </w:style>
  <w:style w:type="character" w:customStyle="1" w:styleId="Char0">
    <w:name w:val="批注文字 Char"/>
    <w:basedOn w:val="a1"/>
    <w:link w:val="a7"/>
    <w:qFormat/>
    <w:rsid w:val="00276BFD"/>
    <w:rPr>
      <w:rFonts w:ascii="Times New Roman" w:eastAsia="宋体" w:hAnsi="Times New Roman" w:cs="Times New Roman"/>
      <w:kern w:val="2"/>
      <w:sz w:val="21"/>
      <w:szCs w:val="24"/>
    </w:rPr>
  </w:style>
  <w:style w:type="character" w:customStyle="1" w:styleId="Char">
    <w:name w:val="批注主题 Char"/>
    <w:basedOn w:val="Char0"/>
    <w:link w:val="a6"/>
    <w:qFormat/>
    <w:rsid w:val="00276BFD"/>
    <w:rPr>
      <w:rFonts w:ascii="Times New Roman" w:eastAsia="宋体" w:hAnsi="Times New Roman" w:cs="Times New Roman"/>
      <w:b/>
      <w:bCs/>
      <w:kern w:val="2"/>
      <w:sz w:val="21"/>
      <w:szCs w:val="24"/>
    </w:rPr>
  </w:style>
  <w:style w:type="character" w:customStyle="1" w:styleId="font11">
    <w:name w:val="font11"/>
    <w:basedOn w:val="a1"/>
    <w:qFormat/>
    <w:rsid w:val="00276BFD"/>
    <w:rPr>
      <w:rFonts w:ascii="宋体" w:eastAsia="宋体" w:hAnsi="宋体" w:cs="宋体" w:hint="eastAsia"/>
      <w:color w:val="000000"/>
      <w:sz w:val="18"/>
      <w:szCs w:val="18"/>
      <w:u w:val="none"/>
    </w:rPr>
  </w:style>
  <w:style w:type="paragraph" w:customStyle="1" w:styleId="WPSOffice1">
    <w:name w:val="WPSOffice手动目录 1"/>
    <w:qFormat/>
    <w:rsid w:val="00276BFD"/>
  </w:style>
  <w:style w:type="paragraph" w:customStyle="1" w:styleId="21">
    <w:name w:val="修订2"/>
    <w:hidden/>
    <w:uiPriority w:val="99"/>
    <w:unhideWhenUsed/>
    <w:qFormat/>
    <w:rsid w:val="00276BFD"/>
    <w:rPr>
      <w:rFonts w:ascii="Times New Roman" w:eastAsia="宋体" w:hAnsi="Times New Roman" w:cs="Times New Roman"/>
      <w:kern w:val="2"/>
      <w:sz w:val="21"/>
      <w:szCs w:val="24"/>
    </w:rPr>
  </w:style>
  <w:style w:type="character" w:customStyle="1" w:styleId="Char1">
    <w:name w:val="页脚 Char"/>
    <w:basedOn w:val="a1"/>
    <w:link w:val="a9"/>
    <w:uiPriority w:val="99"/>
    <w:qFormat/>
    <w:rsid w:val="00276BFD"/>
    <w:rPr>
      <w:rFonts w:ascii="Times New Roman" w:eastAsia="宋体" w:hAnsi="Times New Roman" w:cs="Times New Roman"/>
      <w:kern w:val="2"/>
      <w:sz w:val="18"/>
    </w:rPr>
  </w:style>
  <w:style w:type="paragraph" w:styleId="ad">
    <w:name w:val="Balloon Text"/>
    <w:basedOn w:val="a"/>
    <w:link w:val="Char2"/>
    <w:rsid w:val="00641BA0"/>
    <w:rPr>
      <w:sz w:val="18"/>
      <w:szCs w:val="18"/>
    </w:rPr>
  </w:style>
  <w:style w:type="character" w:customStyle="1" w:styleId="Char2">
    <w:name w:val="批注框文本 Char"/>
    <w:basedOn w:val="a1"/>
    <w:link w:val="ad"/>
    <w:rsid w:val="00641BA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076B38CA-61BA-4089-B4DF-17207D3D80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1320</Words>
  <Characters>7524</Characters>
  <Application>Microsoft Office Word</Application>
  <DocSecurity>0</DocSecurity>
  <Lines>62</Lines>
  <Paragraphs>17</Paragraphs>
  <ScaleCrop>false</ScaleCrop>
  <Company>HP</Company>
  <LinksUpToDate>false</LinksUpToDate>
  <CharactersWithSpaces>8827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温如言 。</dc:creator>
  <cp:lastModifiedBy>TUN</cp:lastModifiedBy>
  <cp:revision>14</cp:revision>
  <cp:lastPrinted>2023-06-08T01:07:00Z</cp:lastPrinted>
  <dcterms:created xsi:type="dcterms:W3CDTF">2022-04-19T09:14:00Z</dcterms:created>
  <dcterms:modified xsi:type="dcterms:W3CDTF">2024-06-04T01:12:00Z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9044A445F0204DB387A290459E2BF15A_13</vt:lpwstr>
  </property>
  <property fmtid="{D5CDD505-2E9C-101B-9397-08002B2CF9AE}" pid="4" name="commondata">
    <vt:lpwstr>eyJoZGlkIjoiODhkYTg5N2ZlMDM0NDE3ZmFiODE1OWU3NDZhOGY1MDEifQ==</vt:lpwstr>
  </property>
</Properties>
</file>